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6C75" w14:textId="33017D1D" w:rsidR="00312736" w:rsidRPr="00312736" w:rsidRDefault="0043780A" w:rsidP="00312736">
      <w:pPr>
        <w:jc w:val="center"/>
        <w:rPr>
          <w:rFonts w:ascii="Times New Roman" w:hAnsi="Times New Roman" w:cs="Times New Roman"/>
          <w:b/>
          <w:bCs/>
          <w:sz w:val="24"/>
          <w:szCs w:val="24"/>
        </w:rPr>
      </w:pPr>
      <w:r>
        <w:rPr>
          <w:rFonts w:ascii="Times New Roman" w:hAnsi="Times New Roman" w:cs="Times New Roman"/>
          <w:b/>
          <w:bCs/>
          <w:sz w:val="24"/>
          <w:szCs w:val="24"/>
        </w:rPr>
        <w:t>SIŪLOMOS ĮRANGOS TECHNINĖS CHARAKTERISTIKOS</w:t>
      </w:r>
    </w:p>
    <w:p w14:paraId="137019F3" w14:textId="77777777" w:rsidR="002B4371" w:rsidRPr="002B4371" w:rsidRDefault="002B4371" w:rsidP="002B4371">
      <w:pPr>
        <w:spacing w:after="0" w:line="240" w:lineRule="auto"/>
        <w:ind w:firstLine="340"/>
        <w:jc w:val="both"/>
        <w:rPr>
          <w:rFonts w:ascii="Times New Roman" w:hAnsi="Times New Roman" w:cs="Times New Roman"/>
          <w:b/>
          <w:sz w:val="20"/>
          <w:szCs w:val="20"/>
        </w:rPr>
      </w:pPr>
      <w:r w:rsidRPr="002B4371">
        <w:rPr>
          <w:rFonts w:ascii="Times New Roman" w:hAnsi="Times New Roman" w:cs="Times New Roman"/>
          <w:b/>
          <w:sz w:val="20"/>
          <w:szCs w:val="20"/>
        </w:rPr>
        <w:t>BENDRI REIKALAVIMAI PERKAMAI ĮRANGAI</w:t>
      </w:r>
    </w:p>
    <w:p w14:paraId="22A7F1EF"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sz w:val="22"/>
          <w:szCs w:val="22"/>
        </w:rPr>
        <w:t xml:space="preserve">Pirkimą finansuoja Europos Sąjunga – „NextGenerationEU“ pagal Ekonomikos gaivinimo ir atsparumo didinimo planą „Naujos kartos Lietuva“. </w:t>
      </w:r>
    </w:p>
    <w:p w14:paraId="1FF92DA0" w14:textId="77777777" w:rsidR="00E658C9" w:rsidRPr="00666008" w:rsidRDefault="00E658C9" w:rsidP="00E658C9">
      <w:pPr>
        <w:pStyle w:val="ListParagraph"/>
        <w:numPr>
          <w:ilvl w:val="0"/>
          <w:numId w:val="24"/>
        </w:numPr>
        <w:tabs>
          <w:tab w:val="left" w:pos="567"/>
        </w:tabs>
        <w:ind w:left="0" w:firstLine="0"/>
        <w:jc w:val="both"/>
        <w:rPr>
          <w:rFonts w:ascii="Times New Roman" w:hAnsi="Times New Roman" w:cs="Times New Roman"/>
          <w:sz w:val="22"/>
          <w:szCs w:val="22"/>
        </w:rPr>
      </w:pPr>
      <w:r w:rsidRPr="00666008">
        <w:rPr>
          <w:rFonts w:ascii="Times New Roman" w:hAnsi="Times New Roman" w:cs="Times New Roman"/>
          <w:sz w:val="22"/>
          <w:szCs w:val="22"/>
        </w:rPr>
        <w:t xml:space="preserve">VšĮ Vilniaus Gedimino technikos universitetas (toliau – perkančioji organizacija) perka </w:t>
      </w:r>
      <w:r w:rsidRPr="00666008">
        <w:rPr>
          <w:rFonts w:ascii="Times New Roman" w:hAnsi="Times New Roman" w:cs="Times New Roman"/>
          <w:b/>
          <w:bCs/>
          <w:sz w:val="22"/>
          <w:szCs w:val="22"/>
        </w:rPr>
        <w:t>prietaisą cementinių medžiagų kietėjimo kinetikai vertinti</w:t>
      </w:r>
      <w:r w:rsidRPr="00666008">
        <w:rPr>
          <w:rFonts w:ascii="Times New Roman" w:hAnsi="Times New Roman" w:cs="Times New Roman"/>
          <w:sz w:val="22"/>
          <w:szCs w:val="22"/>
        </w:rPr>
        <w:t xml:space="preserve">, </w:t>
      </w:r>
      <w:r w:rsidRPr="00666008">
        <w:rPr>
          <w:rFonts w:ascii="Times New Roman" w:hAnsi="Times New Roman" w:cs="Times New Roman"/>
          <w:sz w:val="22"/>
          <w:szCs w:val="22"/>
          <w:lang w:val="en-US"/>
        </w:rPr>
        <w:t xml:space="preserve">1 </w:t>
      </w:r>
      <w:r w:rsidRPr="00666008">
        <w:rPr>
          <w:rFonts w:ascii="Times New Roman" w:hAnsi="Times New Roman" w:cs="Times New Roman"/>
          <w:sz w:val="22"/>
          <w:szCs w:val="22"/>
        </w:rPr>
        <w:t xml:space="preserve">kompl. (toliau – Įranga). </w:t>
      </w:r>
    </w:p>
    <w:p w14:paraId="355817C3"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sz w:val="22"/>
          <w:szCs w:val="22"/>
        </w:rPr>
        <w:t>Įranga skirta tiksliam įvairių mišinių (betono, skiedinio, gipso, polimerų ir kt.) kietėjimo proceso metu, struktūros ir matmenų pokyčių stebėjimui.</w:t>
      </w:r>
    </w:p>
    <w:p w14:paraId="0F945601"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iCs/>
          <w:sz w:val="22"/>
          <w:szCs w:val="22"/>
        </w:rPr>
        <w:t>Visa siūloma Įranga turi būti suderinta tarpusavyje, o jos naudojimas kartu numatytas gamintojo.</w:t>
      </w:r>
    </w:p>
    <w:p w14:paraId="48B426C0"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sz w:val="22"/>
          <w:szCs w:val="22"/>
          <w:u w:val="single"/>
        </w:rPr>
        <w:t xml:space="preserve">Tiekėjo pristatoma Įranga turi būti gamykliškai nauja „brand new“, gamykliškai atnaujinti „renew“/„refurbished“ komponentai neleistini. Įranga turi atitikti šioje Techninėje specifikacijoje nustatytus minimalius / būtinus reikalavimus </w:t>
      </w:r>
      <w:r w:rsidRPr="00666008">
        <w:rPr>
          <w:rFonts w:ascii="Times New Roman" w:hAnsi="Times New Roman" w:cs="Times New Roman"/>
          <w:i/>
          <w:iCs/>
          <w:sz w:val="22"/>
          <w:szCs w:val="22"/>
          <w:u w:val="single"/>
        </w:rPr>
        <w:t>(Reikalaujamos techninės charakteristikos/parametrai ir kiti reikalavimai)</w:t>
      </w:r>
      <w:r w:rsidRPr="00666008">
        <w:rPr>
          <w:rFonts w:ascii="Times New Roman" w:hAnsi="Times New Roman" w:cs="Times New Roman"/>
          <w:sz w:val="22"/>
          <w:szCs w:val="22"/>
          <w:u w:val="single"/>
        </w:rPr>
        <w:t>.</w:t>
      </w:r>
    </w:p>
    <w:p w14:paraId="423F6B0B"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u w:val="single"/>
        </w:rPr>
      </w:pPr>
      <w:r w:rsidRPr="00666008">
        <w:rPr>
          <w:rFonts w:ascii="Times New Roman" w:hAnsi="Times New Roman" w:cs="Times New Roman"/>
          <w:sz w:val="22"/>
          <w:szCs w:val="22"/>
          <w:u w:val="single"/>
        </w:rPr>
        <w:t xml:space="preserve">Į pasiūlymo kainą turi būti įvertinti įrangos pristatymas, montavimas, pajungimas ir funkcionalumo patikrinimas perkančiosios organizacijos nurodytoje patalpoje laikantis gamintojo rekomendacijų. </w:t>
      </w:r>
    </w:p>
    <w:p w14:paraId="15FA4FED"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b/>
          <w:bCs/>
          <w:sz w:val="22"/>
          <w:szCs w:val="22"/>
        </w:rPr>
      </w:pPr>
      <w:r w:rsidRPr="00666008">
        <w:rPr>
          <w:rFonts w:ascii="Times New Roman" w:hAnsi="Times New Roman" w:cs="Times New Roman"/>
          <w:sz w:val="22"/>
          <w:szCs w:val="22"/>
        </w:rPr>
        <w:t>Įrangos pristatymo vieta – Saulėtekio al. 11, Vilnius, LT-10223, Lietuva.</w:t>
      </w:r>
    </w:p>
    <w:p w14:paraId="3ED90326"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sz w:val="22"/>
          <w:szCs w:val="22"/>
        </w:rPr>
        <w:t>Pristatymo terminai – ne vėliau kaip p</w:t>
      </w:r>
      <w:r w:rsidRPr="00666008">
        <w:rPr>
          <w:rFonts w:ascii="Times New Roman" w:hAnsi="Times New Roman" w:cs="Times New Roman"/>
          <w:b/>
          <w:sz w:val="22"/>
          <w:szCs w:val="22"/>
        </w:rPr>
        <w:t xml:space="preserve">er 4 mėnesius </w:t>
      </w:r>
      <w:r w:rsidRPr="00666008">
        <w:rPr>
          <w:rFonts w:ascii="Times New Roman" w:hAnsi="Times New Roman" w:cs="Times New Roman"/>
          <w:sz w:val="22"/>
          <w:szCs w:val="22"/>
        </w:rPr>
        <w:t>nuo pirkimo sutarties įsigaliojimo dienos.</w:t>
      </w:r>
    </w:p>
    <w:p w14:paraId="265AB0A8"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iCs/>
          <w:sz w:val="22"/>
          <w:szCs w:val="22"/>
        </w:rPr>
        <w:t xml:space="preserve">Ne mažiau kaip 4 valandų išsamūs mokymai 2 darbuotojams, kaip naudotis įranga. </w:t>
      </w:r>
    </w:p>
    <w:p w14:paraId="0037ED6F"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sz w:val="22"/>
          <w:szCs w:val="22"/>
        </w:rPr>
        <w:t>Kartu su Įranga turi būti pateikiama naudojimosi instrukcija (Lietuvių arba anglų kalba) bei kita prašoma dokumentacija.</w:t>
      </w:r>
    </w:p>
    <w:p w14:paraId="7C9C6AFA"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sz w:val="22"/>
          <w:szCs w:val="22"/>
        </w:rPr>
        <w:t xml:space="preserve">Įrangai (įskaitant jos sudėtines/komplektuojamas dalis) turi būti suteikiama garantija ne trumpesniam </w:t>
      </w:r>
      <w:r w:rsidRPr="00666008">
        <w:rPr>
          <w:rFonts w:ascii="Times New Roman" w:hAnsi="Times New Roman" w:cs="Times New Roman"/>
          <w:sz w:val="22"/>
          <w:szCs w:val="22"/>
          <w:u w:val="single"/>
        </w:rPr>
        <w:t xml:space="preserve">kaip </w:t>
      </w:r>
      <w:r w:rsidRPr="00666008">
        <w:rPr>
          <w:rFonts w:ascii="Times New Roman" w:hAnsi="Times New Roman" w:cs="Times New Roman"/>
          <w:b/>
          <w:sz w:val="22"/>
          <w:szCs w:val="22"/>
          <w:u w:val="single"/>
        </w:rPr>
        <w:t>12 mėnesių terminui</w:t>
      </w:r>
      <w:r w:rsidRPr="00666008">
        <w:rPr>
          <w:rFonts w:ascii="Times New Roman" w:hAnsi="Times New Roman" w:cs="Times New Roman"/>
          <w:sz w:val="22"/>
          <w:szCs w:val="22"/>
          <w:u w:val="single"/>
        </w:rPr>
        <w:t xml:space="preserve"> </w:t>
      </w:r>
      <w:r w:rsidRPr="00666008">
        <w:rPr>
          <w:rFonts w:ascii="Times New Roman" w:hAnsi="Times New Roman" w:cs="Times New Roman"/>
          <w:bCs/>
          <w:iCs/>
          <w:sz w:val="22"/>
          <w:szCs w:val="22"/>
          <w:u w:val="single"/>
        </w:rPr>
        <w:t>arba sumuojant su terminu, nurodytu tiekėjo pasiūlyme,</w:t>
      </w:r>
      <w:r w:rsidRPr="00666008">
        <w:rPr>
          <w:rFonts w:ascii="Times New Roman" w:hAnsi="Times New Roman" w:cs="Times New Roman"/>
          <w:sz w:val="22"/>
          <w:szCs w:val="22"/>
          <w:u w:val="single"/>
        </w:rPr>
        <w:t xml:space="preserve"> nuo perdavimo-priėmimo akto pasirašymo dienos</w:t>
      </w:r>
      <w:r w:rsidRPr="00666008">
        <w:rPr>
          <w:rFonts w:ascii="Times New Roman" w:hAnsi="Times New Roman" w:cs="Times New Roman"/>
          <w:sz w:val="22"/>
          <w:szCs w:val="22"/>
        </w:rPr>
        <w:t>.</w:t>
      </w:r>
    </w:p>
    <w:p w14:paraId="17C0E6BF" w14:textId="77777777" w:rsidR="00E658C9" w:rsidRPr="00666008" w:rsidRDefault="00E658C9" w:rsidP="00E658C9">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666008">
        <w:rPr>
          <w:rFonts w:ascii="Times New Roman" w:hAnsi="Times New Roman" w:cs="Times New Roman"/>
          <w:iCs/>
          <w:sz w:val="22"/>
          <w:szCs w:val="22"/>
        </w:rPr>
        <w:t xml:space="preserve">Įranga privalo atitikti Direktyvos 2009/125/EB nuostatas ir būti pažymėta CE ženklu. </w:t>
      </w:r>
      <w:r w:rsidRPr="00666008">
        <w:rPr>
          <w:rFonts w:ascii="Times New Roman" w:eastAsia="Times New Roman" w:hAnsi="Times New Roman" w:cs="Times New Roman"/>
          <w:b/>
          <w:sz w:val="22"/>
          <w:szCs w:val="22"/>
        </w:rPr>
        <w:t>Kartu su pasiūlymu pateikiamas CE sertifikatas ir (ar) gamintojo CE atitikties deklaracija ar kiti lygiaverčiai įrodymai.</w:t>
      </w:r>
    </w:p>
    <w:p w14:paraId="5E60DADE" w14:textId="77777777" w:rsidR="00E658C9" w:rsidRPr="00666008" w:rsidRDefault="00E658C9" w:rsidP="00E658C9">
      <w:pPr>
        <w:pStyle w:val="ListParagraph"/>
        <w:numPr>
          <w:ilvl w:val="0"/>
          <w:numId w:val="24"/>
        </w:numPr>
        <w:tabs>
          <w:tab w:val="left" w:pos="567"/>
        </w:tabs>
        <w:spacing w:after="0" w:line="240" w:lineRule="auto"/>
        <w:ind w:left="0" w:firstLine="0"/>
        <w:jc w:val="both"/>
        <w:rPr>
          <w:rFonts w:ascii="Times New Roman" w:hAnsi="Times New Roman" w:cs="Times New Roman"/>
          <w:color w:val="000000" w:themeColor="text1"/>
          <w:sz w:val="22"/>
          <w:szCs w:val="22"/>
        </w:rPr>
      </w:pPr>
      <w:r w:rsidRPr="00666008">
        <w:rPr>
          <w:rFonts w:ascii="Times New Roman" w:hAnsi="Times New Roman" w:cs="Times New Roman"/>
          <w:b/>
          <w:bCs/>
          <w:sz w:val="22"/>
          <w:szCs w:val="22"/>
        </w:rPr>
        <w:t>Vykdomas žaliasis pirkimas.</w:t>
      </w:r>
      <w:r w:rsidRPr="00666008">
        <w:rPr>
          <w:rFonts w:ascii="Times New Roman" w:hAnsi="Times New Roman" w:cs="Times New Roman"/>
          <w:sz w:val="22"/>
          <w:szCs w:val="22"/>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44B95A4E" w14:textId="77777777" w:rsidR="00E658C9" w:rsidRPr="00666008" w:rsidRDefault="00E658C9" w:rsidP="00E658C9">
      <w:pPr>
        <w:pStyle w:val="ListParagraph"/>
        <w:numPr>
          <w:ilvl w:val="1"/>
          <w:numId w:val="29"/>
        </w:numPr>
        <w:jc w:val="both"/>
        <w:rPr>
          <w:rFonts w:ascii="Times New Roman" w:hAnsi="Times New Roman" w:cs="Times New Roman"/>
          <w:sz w:val="22"/>
          <w:szCs w:val="22"/>
        </w:rPr>
      </w:pPr>
      <w:r w:rsidRPr="00666008">
        <w:rPr>
          <w:rFonts w:ascii="Times New Roman" w:hAnsi="Times New Roman" w:cs="Times New Roman"/>
          <w:sz w:val="22"/>
          <w:szCs w:val="22"/>
        </w:rPr>
        <w:t>Vadovaujantis Aprašo 4.4.4.1</w:t>
      </w:r>
      <w:r w:rsidRPr="00666008">
        <w:rPr>
          <w:rFonts w:ascii="Times New Roman" w:hAnsi="Times New Roman" w:cs="Times New Roman"/>
          <w:i/>
          <w:iCs/>
          <w:sz w:val="22"/>
          <w:szCs w:val="22"/>
        </w:rPr>
        <w:t xml:space="preserve"> ”prekei &lt;...&gt;tiekti &lt;...&gt; sunaudojama mažiau gamtos išteklių&lt;...&gt;“</w:t>
      </w:r>
      <w:r w:rsidRPr="00666008">
        <w:rPr>
          <w:rFonts w:ascii="Times New Roman" w:hAnsi="Times New Roman" w:cs="Times New Roman"/>
          <w:sz w:val="22"/>
          <w:szCs w:val="22"/>
        </w:rPr>
        <w: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w:t>
      </w:r>
      <w:r w:rsidRPr="00666008">
        <w:rPr>
          <w:sz w:val="22"/>
          <w:szCs w:val="22"/>
        </w:rPr>
        <w:t xml:space="preserve"> </w:t>
      </w:r>
      <w:r w:rsidRPr="00666008">
        <w:rPr>
          <w:rFonts w:ascii="Times New Roman" w:hAnsi="Times New Roman" w:cs="Times New Roman"/>
          <w:sz w:val="22"/>
          <w:szCs w:val="22"/>
        </w:rPr>
        <w:t xml:space="preserve">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 </w:t>
      </w:r>
    </w:p>
    <w:p w14:paraId="15CA2C25" w14:textId="45998E30" w:rsidR="00E658C9" w:rsidRPr="00666008" w:rsidRDefault="00E658C9" w:rsidP="00E658C9">
      <w:pPr>
        <w:pStyle w:val="ListParagraph"/>
        <w:numPr>
          <w:ilvl w:val="1"/>
          <w:numId w:val="29"/>
        </w:numPr>
        <w:jc w:val="both"/>
        <w:rPr>
          <w:rFonts w:ascii="Times New Roman" w:hAnsi="Times New Roman" w:cs="Times New Roman"/>
          <w:sz w:val="22"/>
          <w:szCs w:val="22"/>
        </w:rPr>
      </w:pPr>
      <w:r w:rsidRPr="00666008">
        <w:rPr>
          <w:rFonts w:ascii="Times New Roman" w:hAnsi="Times New Roman" w:cs="Times New Roman"/>
          <w:sz w:val="22"/>
          <w:szCs w:val="22"/>
        </w:rPr>
        <w:t xml:space="preserve">Vadovaujantis Aprašo 4.4.4.3 papunkčiu „prekei pagaminti, naudojama mažiau ar nenaudojama pavojingųjų cheminių medžiagų, neteršiama aplinka ir nekeliamas pavojus sveikatai”, kadangi perkama įranga turi atitikti Europos Parlamento ir Tarybos direktyvos 2011/65/ES (RoHS) reikalavimus, ribojančius tam tikrų pavojingų medžiagų (švino, gyvsidabrio, kadmio, </w:t>
      </w:r>
      <w:r w:rsidRPr="00666008">
        <w:rPr>
          <w:rFonts w:ascii="Times New Roman" w:hAnsi="Times New Roman" w:cs="Times New Roman"/>
          <w:sz w:val="22"/>
          <w:szCs w:val="22"/>
        </w:rPr>
        <w:t>šešiavalenčio</w:t>
      </w:r>
      <w:r w:rsidRPr="00666008">
        <w:rPr>
          <w:rFonts w:ascii="Times New Roman" w:hAnsi="Times New Roman" w:cs="Times New Roman"/>
          <w:sz w:val="22"/>
          <w:szCs w:val="22"/>
        </w:rPr>
        <w:t xml:space="preserve"> chromo, PBB ir PBDE) naudojimą elektros ir elektroninėje įrangoje. Atitiktis turi </w:t>
      </w:r>
      <w:r w:rsidRPr="00666008">
        <w:rPr>
          <w:rFonts w:ascii="Times New Roman" w:hAnsi="Times New Roman" w:cs="Times New Roman"/>
          <w:sz w:val="22"/>
          <w:szCs w:val="22"/>
        </w:rPr>
        <w:lastRenderedPageBreak/>
        <w:t>būti įrodoma kartu su pasiūlymu pateikiant gamintojo deklaraciją arba sertifikatą, patvirtinantį RoHS reikalavimų laikymąsi arba kitus lygiaverčius įrodymus.</w:t>
      </w:r>
    </w:p>
    <w:p w14:paraId="080C37B3" w14:textId="77777777" w:rsidR="00E658C9" w:rsidRPr="00666008" w:rsidRDefault="00E658C9" w:rsidP="00E658C9">
      <w:pPr>
        <w:pStyle w:val="ListParagraph"/>
        <w:numPr>
          <w:ilvl w:val="1"/>
          <w:numId w:val="29"/>
        </w:numPr>
        <w:spacing w:after="0" w:line="240" w:lineRule="auto"/>
        <w:jc w:val="both"/>
        <w:rPr>
          <w:rFonts w:ascii="Times New Roman" w:hAnsi="Times New Roman" w:cs="Times New Roman"/>
          <w:sz w:val="22"/>
          <w:szCs w:val="22"/>
        </w:rPr>
      </w:pPr>
      <w:r w:rsidRPr="00666008">
        <w:rPr>
          <w:rFonts w:ascii="Times New Roman" w:hAnsi="Times New Roman" w:cs="Times New Roman"/>
          <w:sz w:val="22"/>
          <w:szCs w:val="22"/>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666008">
        <w:rPr>
          <w:rFonts w:ascii="Times New Roman" w:hAnsi="Times New Roman" w:cs="Times New Roman"/>
          <w:b/>
          <w:bCs/>
          <w:sz w:val="22"/>
          <w:szCs w:val="22"/>
        </w:rPr>
        <w:t>Kartu su pasiūlymu pateikiama gamintojo ir (ar) tiekėjo deklaracija ir (ar) kiti lygiaverčiai dokumentai, patvirtinantys atitiktį šiam reikalavimui.</w:t>
      </w:r>
    </w:p>
    <w:p w14:paraId="57C1809A" w14:textId="77777777" w:rsidR="00E658C9" w:rsidRPr="00666008" w:rsidRDefault="00E658C9" w:rsidP="00E658C9">
      <w:pPr>
        <w:pStyle w:val="ListParagraph"/>
        <w:numPr>
          <w:ilvl w:val="0"/>
          <w:numId w:val="24"/>
        </w:numPr>
        <w:tabs>
          <w:tab w:val="left" w:pos="567"/>
        </w:tabs>
        <w:spacing w:after="0" w:line="240" w:lineRule="auto"/>
        <w:ind w:left="284" w:hanging="142"/>
        <w:jc w:val="both"/>
        <w:rPr>
          <w:rFonts w:ascii="Times New Roman" w:hAnsi="Times New Roman" w:cs="Times New Roman"/>
          <w:iCs/>
          <w:sz w:val="22"/>
          <w:szCs w:val="22"/>
        </w:rPr>
      </w:pPr>
      <w:r w:rsidRPr="00666008">
        <w:rPr>
          <w:rFonts w:ascii="Times New Roman" w:hAnsi="Times New Roman" w:cs="Times New Roman"/>
          <w:iCs/>
          <w:sz w:val="22"/>
          <w:szCs w:val="22"/>
        </w:rPr>
        <w:t>Tiekėjas (jeigu jis pats nėra Įrangos gamintojas) turi teisę atlikti siūlomos Įrangos instaliaciją, garantinį aptarnavimą, apmokymus.</w:t>
      </w:r>
    </w:p>
    <w:p w14:paraId="356F8517" w14:textId="77777777" w:rsidR="00E658C9" w:rsidRPr="00666008" w:rsidRDefault="00E658C9" w:rsidP="00E658C9">
      <w:pPr>
        <w:pStyle w:val="ListParagraph"/>
        <w:tabs>
          <w:tab w:val="left" w:pos="567"/>
        </w:tabs>
        <w:spacing w:after="0" w:line="240" w:lineRule="auto"/>
        <w:ind w:left="284"/>
        <w:jc w:val="both"/>
        <w:rPr>
          <w:rFonts w:ascii="Times New Roman" w:hAnsi="Times New Roman" w:cs="Times New Roman"/>
          <w:iCs/>
          <w:sz w:val="22"/>
          <w:szCs w:val="22"/>
        </w:rPr>
      </w:pPr>
      <w:r w:rsidRPr="00666008">
        <w:rPr>
          <w:rFonts w:ascii="Times New Roman" w:hAnsi="Times New Roman" w:cs="Times New Roman"/>
          <w:b/>
          <w:bCs/>
          <w:iCs/>
          <w:sz w:val="22"/>
          <w:szCs w:val="22"/>
        </w:rPr>
        <w:t>Kartu su pasiūlymu</w:t>
      </w:r>
      <w:r w:rsidRPr="00666008">
        <w:rPr>
          <w:rFonts w:ascii="Times New Roman" w:hAnsi="Times New Roman" w:cs="Times New Roman"/>
          <w:iCs/>
          <w:sz w:val="22"/>
          <w:szCs w:val="22"/>
        </w:rPr>
        <w:t xml:space="preserve"> turi būti pateikiamas siūlomos Įrangos gamintojo įgaliojimas ar kitas lygiavertis dokumentas, patvirtinantis Tiekėjo teisę garantiniu laikotarpiu atlikti Įrangos, instaliacijos, apmokymų ir garantinio aptarnavimo paslaugas) arba Tiekėjas turi būti sudaręs atitinkamų paslaugų teikimo sutartį (ar lygiavertį rašytinį susitarimą) su kitu ūkio subjektu, kuriam gamintojo suteikta teisė atlikti siūlomos Įrangos instaliaciją, apmokymu, garantinį aptarnavimą ir jis sutinka teikti siūlomos Įrangos instaliacijos, apmokymų ir garantinio aptarnavimo paslaugas (pateikiami įrodymai apie sudarytą atitinkamą paslaugų teikimo sutartį su kitu tokią teisę turinčiu ūkio subjektu ir to ūkio subjekto sutikimą).</w:t>
      </w:r>
    </w:p>
    <w:p w14:paraId="20FC5B97" w14:textId="77777777" w:rsidR="002B4371" w:rsidRPr="007623DC" w:rsidRDefault="002B4371" w:rsidP="002B4371">
      <w:pPr>
        <w:pStyle w:val="ListParagraph"/>
        <w:tabs>
          <w:tab w:val="left" w:pos="567"/>
        </w:tabs>
        <w:spacing w:after="0" w:line="240" w:lineRule="auto"/>
        <w:ind w:left="0" w:firstLine="340"/>
        <w:jc w:val="both"/>
        <w:rPr>
          <w:rFonts w:ascii="Times New Roman" w:hAnsi="Times New Roman" w:cs="Times New Roman"/>
          <w:sz w:val="20"/>
          <w:szCs w:val="20"/>
        </w:rPr>
      </w:pPr>
    </w:p>
    <w:p w14:paraId="0C526B0D" w14:textId="5EA1E23C" w:rsidR="002B4371" w:rsidRPr="002B4371" w:rsidRDefault="002B4371" w:rsidP="002B4371">
      <w:pPr>
        <w:spacing w:after="0" w:line="240" w:lineRule="auto"/>
        <w:ind w:firstLine="340"/>
        <w:jc w:val="both"/>
        <w:rPr>
          <w:rFonts w:ascii="Times New Roman" w:hAnsi="Times New Roman" w:cs="Times New Roman"/>
          <w:i/>
          <w:iCs/>
          <w:sz w:val="20"/>
          <w:szCs w:val="20"/>
        </w:rPr>
      </w:pPr>
      <w:r w:rsidRPr="002B4371">
        <w:rPr>
          <w:rFonts w:ascii="Times New Roman" w:hAnsi="Times New Roman" w:cs="Times New Roman"/>
          <w:i/>
          <w:iCs/>
          <w:sz w:val="20"/>
          <w:szCs w:val="20"/>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r w:rsidR="00C00A6D" w:rsidRPr="00C00A6D">
        <w:rPr>
          <w:rFonts w:ascii="Times New Roman" w:eastAsia="Times New Roman" w:hAnsi="Times New Roman" w:cs="Times New Roman"/>
          <w:b/>
          <w:bCs/>
          <w:i/>
          <w:iCs/>
          <w:sz w:val="20"/>
          <w:szCs w:val="20"/>
        </w:rPr>
        <w:t xml:space="preserve"> </w:t>
      </w:r>
      <w:r w:rsidR="00C00A6D" w:rsidRPr="00EC40CC">
        <w:rPr>
          <w:rFonts w:ascii="Times New Roman" w:eastAsia="Times New Roman" w:hAnsi="Times New Roman" w:cs="Times New Roman"/>
          <w:b/>
          <w:bCs/>
          <w:i/>
          <w:iCs/>
          <w:sz w:val="20"/>
          <w:szCs w:val="20"/>
        </w:rPr>
        <w:t>Prievolė įrodyti dokumentų lygiavertiškumą tenka tiekėjui</w:t>
      </w:r>
      <w:r w:rsidR="00C00A6D">
        <w:rPr>
          <w:rFonts w:ascii="Times New Roman" w:eastAsia="Times New Roman" w:hAnsi="Times New Roman" w:cs="Times New Roman"/>
          <w:b/>
          <w:bCs/>
          <w:i/>
          <w:iCs/>
          <w:sz w:val="20"/>
          <w:szCs w:val="20"/>
        </w:rPr>
        <w:t>.</w:t>
      </w:r>
    </w:p>
    <w:p w14:paraId="50E1983B" w14:textId="77777777" w:rsidR="002B4371" w:rsidRPr="00F33D5E" w:rsidRDefault="002B4371" w:rsidP="002B4371">
      <w:pPr>
        <w:spacing w:after="0" w:line="240" w:lineRule="auto"/>
        <w:jc w:val="both"/>
        <w:rPr>
          <w:rFonts w:ascii="Times New Roman" w:hAnsi="Times New Roman" w:cs="Times New Roman"/>
          <w:i/>
          <w:iCs/>
          <w:sz w:val="22"/>
          <w:szCs w:val="22"/>
        </w:rPr>
      </w:pPr>
    </w:p>
    <w:p w14:paraId="7999E659" w14:textId="77777777" w:rsidR="002B4371" w:rsidRPr="002B4371" w:rsidRDefault="002B4371" w:rsidP="002B4371">
      <w:pPr>
        <w:spacing w:after="0" w:line="240" w:lineRule="auto"/>
        <w:rPr>
          <w:rFonts w:ascii="Times New Roman" w:hAnsi="Times New Roman" w:cs="Times New Roman"/>
          <w:b/>
          <w:bCs/>
          <w:sz w:val="20"/>
          <w:szCs w:val="20"/>
        </w:rPr>
      </w:pPr>
      <w:r w:rsidRPr="002B4371">
        <w:rPr>
          <w:rFonts w:ascii="Times New Roman" w:hAnsi="Times New Roman" w:cs="Times New Roman"/>
          <w:b/>
          <w:bCs/>
          <w:sz w:val="20"/>
          <w:szCs w:val="20"/>
        </w:rPr>
        <w:t>Reikalavimai įrangos techniniams parametrams</w:t>
      </w:r>
    </w:p>
    <w:tbl>
      <w:tblPr>
        <w:tblW w:w="108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5103"/>
        <w:gridCol w:w="4961"/>
      </w:tblGrid>
      <w:tr w:rsidR="001153EF" w:rsidRPr="007032D4" w14:paraId="6F800E3C" w14:textId="77777777" w:rsidTr="00FB4542">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0CDFA017" w14:textId="77777777" w:rsidR="001153EF" w:rsidRPr="007032D4" w:rsidRDefault="001153EF" w:rsidP="00CE5105">
            <w:pPr>
              <w:spacing w:after="0" w:line="240" w:lineRule="auto"/>
              <w:jc w:val="center"/>
              <w:rPr>
                <w:rFonts w:ascii="Times New Roman" w:hAnsi="Times New Roman" w:cs="Times New Roman"/>
                <w:b/>
                <w:bCs/>
                <w:i/>
                <w:iCs/>
                <w:sz w:val="22"/>
                <w:szCs w:val="22"/>
              </w:rPr>
            </w:pPr>
            <w:r w:rsidRPr="007032D4">
              <w:rPr>
                <w:rFonts w:ascii="Times New Roman" w:hAnsi="Times New Roman" w:cs="Times New Roman"/>
                <w:b/>
                <w:bCs/>
                <w:i/>
                <w:iCs/>
                <w:sz w:val="22"/>
                <w:szCs w:val="22"/>
              </w:rPr>
              <w:t>Eil.</w:t>
            </w:r>
          </w:p>
          <w:p w14:paraId="7A0D526A" w14:textId="77777777" w:rsidR="001153EF" w:rsidRPr="007032D4" w:rsidRDefault="001153EF" w:rsidP="00CE5105">
            <w:pPr>
              <w:spacing w:after="0" w:line="240" w:lineRule="auto"/>
              <w:jc w:val="center"/>
              <w:rPr>
                <w:rFonts w:ascii="Times New Roman" w:hAnsi="Times New Roman" w:cs="Times New Roman"/>
                <w:b/>
                <w:bCs/>
                <w:i/>
                <w:iCs/>
                <w:color w:val="FF0000"/>
                <w:sz w:val="22"/>
                <w:szCs w:val="22"/>
              </w:rPr>
            </w:pPr>
            <w:r w:rsidRPr="007032D4">
              <w:rPr>
                <w:rFonts w:ascii="Times New Roman" w:hAnsi="Times New Roman" w:cs="Times New Roman"/>
                <w:b/>
                <w:bCs/>
                <w:i/>
                <w:iCs/>
                <w:sz w:val="22"/>
                <w:szCs w:val="22"/>
              </w:rPr>
              <w:t>Nr.</w:t>
            </w:r>
          </w:p>
        </w:tc>
        <w:tc>
          <w:tcPr>
            <w:tcW w:w="5103" w:type="dxa"/>
            <w:tcBorders>
              <w:top w:val="single" w:sz="4" w:space="0" w:color="auto"/>
              <w:left w:val="single" w:sz="4" w:space="0" w:color="auto"/>
              <w:right w:val="single" w:sz="4" w:space="0" w:color="auto"/>
            </w:tcBorders>
            <w:shd w:val="clear" w:color="auto" w:fill="E6E6E6"/>
            <w:vAlign w:val="center"/>
          </w:tcPr>
          <w:p w14:paraId="6C1FB852" w14:textId="77777777" w:rsidR="001153EF" w:rsidRPr="007032D4" w:rsidRDefault="001153EF" w:rsidP="00CE5105">
            <w:pPr>
              <w:spacing w:after="0" w:line="240" w:lineRule="auto"/>
              <w:jc w:val="center"/>
              <w:rPr>
                <w:rFonts w:ascii="Times New Roman" w:hAnsi="Times New Roman" w:cs="Times New Roman"/>
                <w:sz w:val="22"/>
                <w:szCs w:val="22"/>
              </w:rPr>
            </w:pPr>
            <w:r w:rsidRPr="007032D4">
              <w:rPr>
                <w:rFonts w:ascii="Times New Roman" w:eastAsia="Times New Roman" w:hAnsi="Times New Roman" w:cs="Times New Roman"/>
                <w:b/>
                <w:bCs/>
                <w:i/>
                <w:iCs/>
                <w:sz w:val="22"/>
                <w:szCs w:val="22"/>
              </w:rPr>
              <w:t>Reikalaujamos techninės charakteristikos</w:t>
            </w:r>
            <w:bookmarkStart w:id="0" w:name="_Hlk152062021"/>
            <w:r w:rsidRPr="007032D4">
              <w:rPr>
                <w:rFonts w:ascii="Times New Roman" w:eastAsia="Times New Roman" w:hAnsi="Times New Roman" w:cs="Times New Roman"/>
                <w:b/>
                <w:bCs/>
                <w:i/>
                <w:iCs/>
                <w:sz w:val="22"/>
                <w:szCs w:val="22"/>
              </w:rPr>
              <w:t>/parametrai ir kiti reikalavimai</w:t>
            </w:r>
            <w:bookmarkEnd w:id="0"/>
          </w:p>
        </w:tc>
        <w:tc>
          <w:tcPr>
            <w:tcW w:w="4961" w:type="dxa"/>
            <w:tcBorders>
              <w:top w:val="single" w:sz="4" w:space="0" w:color="auto"/>
              <w:left w:val="single" w:sz="4" w:space="0" w:color="auto"/>
              <w:right w:val="single" w:sz="4" w:space="0" w:color="auto"/>
            </w:tcBorders>
            <w:shd w:val="clear" w:color="auto" w:fill="E6E6E6"/>
            <w:vAlign w:val="center"/>
          </w:tcPr>
          <w:p w14:paraId="17EF1FE5" w14:textId="77777777" w:rsidR="001153EF" w:rsidRPr="007032D4" w:rsidRDefault="001153EF" w:rsidP="00CE5105">
            <w:pPr>
              <w:spacing w:after="0" w:line="240" w:lineRule="auto"/>
              <w:jc w:val="center"/>
              <w:rPr>
                <w:rFonts w:ascii="Times New Roman" w:hAnsi="Times New Roman" w:cs="Times New Roman"/>
                <w:b/>
                <w:bCs/>
                <w:i/>
                <w:iCs/>
                <w:sz w:val="22"/>
                <w:szCs w:val="22"/>
              </w:rPr>
            </w:pPr>
            <w:r w:rsidRPr="007032D4">
              <w:rPr>
                <w:rFonts w:ascii="Times New Roman" w:hAnsi="Times New Roman" w:cs="Times New Roman"/>
                <w:b/>
                <w:bCs/>
                <w:i/>
                <w:iCs/>
                <w:sz w:val="22"/>
                <w:szCs w:val="22"/>
              </w:rPr>
              <w:t>Tiekėjo siūlomos įrangos techninės charakteristikos</w:t>
            </w:r>
          </w:p>
          <w:p w14:paraId="4BA762A4" w14:textId="77777777" w:rsidR="001153EF" w:rsidRPr="007032D4" w:rsidRDefault="001153EF" w:rsidP="00CE5105">
            <w:pPr>
              <w:spacing w:after="0" w:line="240" w:lineRule="auto"/>
              <w:jc w:val="center"/>
              <w:rPr>
                <w:rFonts w:ascii="Times New Roman" w:hAnsi="Times New Roman" w:cs="Times New Roman"/>
                <w:i/>
                <w:iCs/>
                <w:sz w:val="22"/>
                <w:szCs w:val="22"/>
              </w:rPr>
            </w:pPr>
            <w:r w:rsidRPr="007032D4">
              <w:rPr>
                <w:rFonts w:ascii="Times New Roman" w:hAnsi="Times New Roman" w:cs="Times New Roman"/>
                <w:i/>
                <w:iCs/>
                <w:sz w:val="22"/>
                <w:szCs w:val="22"/>
              </w:rPr>
              <w:t>(tiekėjas turi nurodyti tikslius dydžius, medžiagas, išmatavimus ir pan. – t. y. nepaliekant žodžių „ne mažiau“, ne daugiau“, „ne siauresnis“, „ne platesnis“ arba lygiavertis“ ,,+/-„ ar pan.)</w:t>
            </w:r>
          </w:p>
        </w:tc>
      </w:tr>
      <w:tr w:rsidR="00EC67AA" w:rsidRPr="007032D4" w14:paraId="7AF2D71E" w14:textId="77777777" w:rsidTr="00FB4542">
        <w:trPr>
          <w:trHeight w:val="626"/>
        </w:trPr>
        <w:tc>
          <w:tcPr>
            <w:tcW w:w="738" w:type="dxa"/>
            <w:tcBorders>
              <w:top w:val="double" w:sz="4" w:space="0" w:color="auto"/>
              <w:left w:val="single" w:sz="4" w:space="0" w:color="auto"/>
              <w:bottom w:val="single" w:sz="4" w:space="0" w:color="auto"/>
              <w:right w:val="single" w:sz="4" w:space="0" w:color="auto"/>
            </w:tcBorders>
            <w:vAlign w:val="center"/>
          </w:tcPr>
          <w:p w14:paraId="1EAEF9C7"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w:t>
            </w:r>
          </w:p>
        </w:tc>
        <w:tc>
          <w:tcPr>
            <w:tcW w:w="5103" w:type="dxa"/>
            <w:tcBorders>
              <w:top w:val="double" w:sz="4" w:space="0" w:color="auto"/>
              <w:left w:val="single" w:sz="4" w:space="0" w:color="auto"/>
              <w:bottom w:val="single" w:sz="4" w:space="0" w:color="auto"/>
              <w:right w:val="single" w:sz="4" w:space="0" w:color="auto"/>
            </w:tcBorders>
            <w:vAlign w:val="center"/>
          </w:tcPr>
          <w:p w14:paraId="39B10303" w14:textId="5351D18F" w:rsidR="00EC67AA" w:rsidRPr="007032D4" w:rsidRDefault="00EC67AA" w:rsidP="00EC67AA">
            <w:pPr>
              <w:spacing w:after="0" w:line="240" w:lineRule="auto"/>
              <w:jc w:val="both"/>
              <w:rPr>
                <w:rFonts w:ascii="Times New Roman" w:hAnsi="Times New Roman" w:cs="Times New Roman"/>
                <w:b/>
                <w:bCs/>
                <w:iCs/>
                <w:sz w:val="22"/>
                <w:szCs w:val="22"/>
              </w:rPr>
            </w:pPr>
            <w:r w:rsidRPr="00E14701">
              <w:rPr>
                <w:rFonts w:ascii="Times New Roman" w:hAnsi="Times New Roman" w:cs="Times New Roman"/>
                <w:b/>
                <w:iCs/>
                <w:sz w:val="22"/>
                <w:szCs w:val="22"/>
              </w:rPr>
              <w:t>Prietaisas cementinių medžiagų kietėjimo kinetikai vertinti</w:t>
            </w:r>
          </w:p>
        </w:tc>
        <w:tc>
          <w:tcPr>
            <w:tcW w:w="4961" w:type="dxa"/>
            <w:tcBorders>
              <w:top w:val="double" w:sz="4" w:space="0" w:color="auto"/>
              <w:left w:val="single" w:sz="4" w:space="0" w:color="auto"/>
              <w:bottom w:val="single" w:sz="4" w:space="0" w:color="auto"/>
              <w:right w:val="single" w:sz="4" w:space="0" w:color="auto"/>
            </w:tcBorders>
            <w:vAlign w:val="center"/>
          </w:tcPr>
          <w:p w14:paraId="56CD5B03" w14:textId="77777777" w:rsidR="00EC67AA" w:rsidRPr="007032D4" w:rsidRDefault="00EC67AA" w:rsidP="00EC67AA">
            <w:pPr>
              <w:tabs>
                <w:tab w:val="left" w:pos="30"/>
              </w:tabs>
              <w:spacing w:after="0" w:line="240" w:lineRule="auto"/>
              <w:jc w:val="both"/>
              <w:rPr>
                <w:rFonts w:ascii="Times New Roman" w:hAnsi="Times New Roman" w:cs="Times New Roman"/>
                <w:sz w:val="22"/>
                <w:szCs w:val="22"/>
              </w:rPr>
            </w:pPr>
            <w:r w:rsidRPr="007032D4">
              <w:rPr>
                <w:rFonts w:ascii="Times New Roman" w:hAnsi="Times New Roman" w:cs="Times New Roman"/>
                <w:sz w:val="22"/>
                <w:szCs w:val="22"/>
              </w:rPr>
              <w:t xml:space="preserve">Gamintojas </w:t>
            </w:r>
            <w:r w:rsidRPr="007032D4">
              <w:rPr>
                <w:rFonts w:ascii="Times New Roman" w:hAnsi="Times New Roman" w:cs="Times New Roman"/>
                <w:i/>
                <w:sz w:val="22"/>
                <w:szCs w:val="22"/>
              </w:rPr>
              <w:t>(nurodyti)</w:t>
            </w:r>
            <w:r w:rsidRPr="007032D4">
              <w:rPr>
                <w:rFonts w:ascii="Times New Roman" w:hAnsi="Times New Roman" w:cs="Times New Roman"/>
                <w:sz w:val="22"/>
                <w:szCs w:val="22"/>
              </w:rPr>
              <w:t>: .................</w:t>
            </w:r>
          </w:p>
          <w:p w14:paraId="1F296286" w14:textId="77777777" w:rsidR="00EC67AA" w:rsidRPr="007032D4" w:rsidRDefault="00EC67AA" w:rsidP="00EC67AA">
            <w:pPr>
              <w:spacing w:after="0" w:line="240" w:lineRule="auto"/>
              <w:jc w:val="both"/>
              <w:rPr>
                <w:rFonts w:ascii="Times New Roman" w:hAnsi="Times New Roman" w:cs="Times New Roman"/>
                <w:sz w:val="22"/>
                <w:szCs w:val="22"/>
              </w:rPr>
            </w:pPr>
            <w:r w:rsidRPr="007032D4">
              <w:rPr>
                <w:rFonts w:ascii="Times New Roman" w:hAnsi="Times New Roman" w:cs="Times New Roman"/>
                <w:sz w:val="22"/>
                <w:szCs w:val="22"/>
              </w:rPr>
              <w:t xml:space="preserve">Modelis </w:t>
            </w:r>
            <w:r w:rsidRPr="007032D4">
              <w:rPr>
                <w:rFonts w:ascii="Times New Roman" w:hAnsi="Times New Roman" w:cs="Times New Roman"/>
                <w:i/>
                <w:sz w:val="22"/>
                <w:szCs w:val="22"/>
              </w:rPr>
              <w:t>(nurodyti, jeigu yra)</w:t>
            </w:r>
            <w:r w:rsidRPr="007032D4">
              <w:rPr>
                <w:rFonts w:ascii="Times New Roman" w:hAnsi="Times New Roman" w:cs="Times New Roman"/>
                <w:sz w:val="22"/>
                <w:szCs w:val="22"/>
              </w:rPr>
              <w:t>: .........................</w:t>
            </w:r>
          </w:p>
          <w:p w14:paraId="11B57FC1" w14:textId="77777777" w:rsidR="00EC67AA" w:rsidRPr="007032D4" w:rsidRDefault="00EC67AA" w:rsidP="00EC67AA">
            <w:pPr>
              <w:spacing w:after="0" w:line="240" w:lineRule="auto"/>
              <w:rPr>
                <w:rFonts w:ascii="Times New Roman" w:hAnsi="Times New Roman" w:cs="Times New Roman"/>
                <w:i/>
                <w:sz w:val="22"/>
                <w:szCs w:val="22"/>
              </w:rPr>
            </w:pPr>
            <w:r w:rsidRPr="007032D4">
              <w:rPr>
                <w:rFonts w:ascii="Times New Roman" w:hAnsi="Times New Roman" w:cs="Times New Roman"/>
                <w:sz w:val="22"/>
                <w:szCs w:val="22"/>
              </w:rPr>
              <w:t xml:space="preserve">Kodas </w:t>
            </w:r>
            <w:r w:rsidRPr="007032D4">
              <w:rPr>
                <w:rFonts w:ascii="Times New Roman" w:hAnsi="Times New Roman" w:cs="Times New Roman"/>
                <w:i/>
                <w:sz w:val="22"/>
                <w:szCs w:val="22"/>
              </w:rPr>
              <w:t>(nurodyti, jeigu yra)</w:t>
            </w:r>
            <w:r w:rsidRPr="007032D4">
              <w:rPr>
                <w:rFonts w:ascii="Times New Roman" w:hAnsi="Times New Roman" w:cs="Times New Roman"/>
                <w:sz w:val="22"/>
                <w:szCs w:val="22"/>
              </w:rPr>
              <w:t>: .........................</w:t>
            </w:r>
          </w:p>
        </w:tc>
      </w:tr>
      <w:tr w:rsidR="00EC67AA" w:rsidRPr="007032D4" w14:paraId="0B567015" w14:textId="77777777" w:rsidTr="00FB4542">
        <w:tc>
          <w:tcPr>
            <w:tcW w:w="738" w:type="dxa"/>
            <w:tcBorders>
              <w:top w:val="single" w:sz="4" w:space="0" w:color="auto"/>
              <w:left w:val="single" w:sz="4" w:space="0" w:color="auto"/>
              <w:bottom w:val="single" w:sz="4" w:space="0" w:color="auto"/>
              <w:right w:val="single" w:sz="4" w:space="0" w:color="auto"/>
            </w:tcBorders>
          </w:tcPr>
          <w:p w14:paraId="51338917"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1.1.</w:t>
            </w:r>
          </w:p>
        </w:tc>
        <w:tc>
          <w:tcPr>
            <w:tcW w:w="5103" w:type="dxa"/>
            <w:tcBorders>
              <w:top w:val="single" w:sz="4" w:space="0" w:color="auto"/>
              <w:left w:val="single" w:sz="4" w:space="0" w:color="auto"/>
              <w:bottom w:val="single" w:sz="4" w:space="0" w:color="auto"/>
              <w:right w:val="single" w:sz="4" w:space="0" w:color="auto"/>
            </w:tcBorders>
          </w:tcPr>
          <w:p w14:paraId="411F2679" w14:textId="503160DB" w:rsidR="00EC67AA" w:rsidRPr="007032D4"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Matavimo – komunikacijos blokas ar blokai turi būti paruošti darbui su ne mažiau kaip 8 mišinių formomis vienu metu. Nepriklausomai valdomi ≥ 8 kanalai.</w:t>
            </w:r>
          </w:p>
        </w:tc>
        <w:tc>
          <w:tcPr>
            <w:tcW w:w="4961" w:type="dxa"/>
            <w:tcBorders>
              <w:top w:val="single" w:sz="4" w:space="0" w:color="auto"/>
              <w:left w:val="single" w:sz="4" w:space="0" w:color="auto"/>
              <w:bottom w:val="single" w:sz="4" w:space="0" w:color="auto"/>
              <w:right w:val="single" w:sz="4" w:space="0" w:color="auto"/>
            </w:tcBorders>
          </w:tcPr>
          <w:p w14:paraId="6313D81B" w14:textId="77777777" w:rsidR="00EC67AA" w:rsidRPr="007032D4" w:rsidRDefault="00EC67AA" w:rsidP="00EC67AA">
            <w:pPr>
              <w:pStyle w:val="BodyTextIndent"/>
              <w:spacing w:after="0" w:line="240" w:lineRule="auto"/>
              <w:ind w:left="0"/>
              <w:rPr>
                <w:rFonts w:ascii="Times New Roman" w:hAnsi="Times New Roman" w:cs="Times New Roman"/>
                <w:color w:val="FF0000"/>
                <w:sz w:val="22"/>
                <w:szCs w:val="22"/>
              </w:rPr>
            </w:pPr>
          </w:p>
        </w:tc>
      </w:tr>
      <w:tr w:rsidR="00EC67AA" w:rsidRPr="007032D4" w14:paraId="17D381FF" w14:textId="77777777" w:rsidTr="00FB4542">
        <w:tc>
          <w:tcPr>
            <w:tcW w:w="738" w:type="dxa"/>
            <w:tcBorders>
              <w:top w:val="single" w:sz="4" w:space="0" w:color="auto"/>
              <w:left w:val="single" w:sz="4" w:space="0" w:color="auto"/>
              <w:bottom w:val="single" w:sz="4" w:space="0" w:color="auto"/>
              <w:right w:val="single" w:sz="4" w:space="0" w:color="auto"/>
            </w:tcBorders>
          </w:tcPr>
          <w:p w14:paraId="0E169B2A"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1.2.</w:t>
            </w:r>
          </w:p>
        </w:tc>
        <w:tc>
          <w:tcPr>
            <w:tcW w:w="5103" w:type="dxa"/>
            <w:tcBorders>
              <w:top w:val="single" w:sz="4" w:space="0" w:color="auto"/>
              <w:left w:val="single" w:sz="4" w:space="0" w:color="auto"/>
              <w:bottom w:val="single" w:sz="4" w:space="0" w:color="auto"/>
              <w:right w:val="single" w:sz="4" w:space="0" w:color="auto"/>
            </w:tcBorders>
          </w:tcPr>
          <w:p w14:paraId="4F65BAF2"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Ultragarso matavimo skiriamoji geba (angl. </w:t>
            </w:r>
            <w:proofErr w:type="spellStart"/>
            <w:r w:rsidRPr="00C14C4D">
              <w:rPr>
                <w:rFonts w:ascii="Times New Roman" w:hAnsi="Times New Roman" w:cs="Times New Roman"/>
                <w:iCs/>
                <w:sz w:val="22"/>
                <w:szCs w:val="22"/>
              </w:rPr>
              <w:t>pulswidth</w:t>
            </w:r>
            <w:proofErr w:type="spellEnd"/>
            <w:r w:rsidRPr="00C14C4D">
              <w:rPr>
                <w:rFonts w:ascii="Times New Roman" w:hAnsi="Times New Roman" w:cs="Times New Roman"/>
                <w:iCs/>
                <w:sz w:val="22"/>
                <w:szCs w:val="22"/>
              </w:rPr>
              <w:t xml:space="preserve">) ≤0.05 </w:t>
            </w:r>
            <w:proofErr w:type="spellStart"/>
            <w:r w:rsidRPr="00C14C4D">
              <w:rPr>
                <w:rFonts w:ascii="Times New Roman" w:hAnsi="Times New Roman" w:cs="Times New Roman"/>
                <w:iCs/>
                <w:sz w:val="22"/>
                <w:szCs w:val="22"/>
              </w:rPr>
              <w:t>μs</w:t>
            </w:r>
            <w:proofErr w:type="spellEnd"/>
            <w:r w:rsidRPr="00C14C4D">
              <w:rPr>
                <w:rFonts w:ascii="Times New Roman" w:hAnsi="Times New Roman" w:cs="Times New Roman"/>
                <w:iCs/>
                <w:sz w:val="22"/>
                <w:szCs w:val="22"/>
              </w:rPr>
              <w:t>.</w:t>
            </w:r>
          </w:p>
          <w:p w14:paraId="0CC1BFF1"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Matavimo trukmės diapazonas ne siauresnis kaip </w:t>
            </w:r>
            <w:r w:rsidRPr="00EA5A67">
              <w:rPr>
                <w:rFonts w:ascii="Times New Roman" w:hAnsi="Times New Roman" w:cs="Times New Roman"/>
                <w:iCs/>
                <w:sz w:val="22"/>
                <w:szCs w:val="22"/>
              </w:rPr>
              <w:t>nuo 20 min iki 365 dienų.</w:t>
            </w:r>
          </w:p>
          <w:p w14:paraId="7FED34D9"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Duomenų surinkimo dažnio diapazonas ne siauresnis </w:t>
            </w:r>
            <w:r w:rsidRPr="00EA5A67">
              <w:rPr>
                <w:rFonts w:ascii="Times New Roman" w:hAnsi="Times New Roman" w:cs="Times New Roman"/>
                <w:iCs/>
                <w:sz w:val="22"/>
                <w:szCs w:val="22"/>
              </w:rPr>
              <w:t>kaip nuo 1s iki  60 minučių.</w:t>
            </w:r>
          </w:p>
          <w:p w14:paraId="4A1160CB"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Temperatūros matavimo diapazonas ne siauresnis </w:t>
            </w:r>
            <w:r w:rsidRPr="00B06A65">
              <w:rPr>
                <w:rFonts w:ascii="Times New Roman" w:hAnsi="Times New Roman" w:cs="Times New Roman"/>
                <w:iCs/>
                <w:sz w:val="22"/>
                <w:szCs w:val="22"/>
              </w:rPr>
              <w:t xml:space="preserve">kaip </w:t>
            </w:r>
            <w:r w:rsidRPr="00EA5A67">
              <w:rPr>
                <w:rFonts w:ascii="Times New Roman" w:hAnsi="Times New Roman" w:cs="Times New Roman"/>
                <w:iCs/>
                <w:sz w:val="22"/>
                <w:szCs w:val="22"/>
              </w:rPr>
              <w:t>nuo –20</w:t>
            </w:r>
            <w:r w:rsidRPr="00EA5A67">
              <w:rPr>
                <w:rFonts w:ascii="Times New Roman" w:hAnsi="Times New Roman" w:cs="Times New Roman"/>
                <w:iCs/>
                <w:sz w:val="22"/>
                <w:szCs w:val="22"/>
                <w:vertAlign w:val="superscript"/>
              </w:rPr>
              <w:t>o</w:t>
            </w:r>
            <w:r w:rsidRPr="00EA5A67">
              <w:rPr>
                <w:rFonts w:ascii="Times New Roman" w:hAnsi="Times New Roman" w:cs="Times New Roman"/>
                <w:iCs/>
                <w:sz w:val="22"/>
                <w:szCs w:val="22"/>
              </w:rPr>
              <w:t>C iki +100</w:t>
            </w:r>
            <w:r w:rsidRPr="00EA5A67">
              <w:rPr>
                <w:rFonts w:ascii="Times New Roman" w:hAnsi="Times New Roman" w:cs="Times New Roman"/>
                <w:iCs/>
                <w:sz w:val="22"/>
                <w:szCs w:val="22"/>
                <w:vertAlign w:val="superscript"/>
              </w:rPr>
              <w:t>o</w:t>
            </w:r>
            <w:r w:rsidRPr="00EA5A67">
              <w:rPr>
                <w:rFonts w:ascii="Times New Roman" w:hAnsi="Times New Roman" w:cs="Times New Roman"/>
                <w:iCs/>
                <w:sz w:val="22"/>
                <w:szCs w:val="22"/>
              </w:rPr>
              <w:t>C.</w:t>
            </w:r>
          </w:p>
          <w:p w14:paraId="17BB1E3F"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Nerūdijančio plieno temperatūros zondas</w:t>
            </w:r>
            <w:r>
              <w:rPr>
                <w:rFonts w:ascii="Times New Roman" w:hAnsi="Times New Roman" w:cs="Times New Roman"/>
                <w:iCs/>
                <w:sz w:val="22"/>
                <w:szCs w:val="22"/>
              </w:rPr>
              <w:t xml:space="preserve"> turi būti</w:t>
            </w:r>
            <w:r w:rsidRPr="00C14C4D">
              <w:rPr>
                <w:rFonts w:ascii="Times New Roman" w:hAnsi="Times New Roman" w:cs="Times New Roman"/>
                <w:iCs/>
                <w:sz w:val="22"/>
                <w:szCs w:val="22"/>
              </w:rPr>
              <w:t>.</w:t>
            </w:r>
          </w:p>
          <w:p w14:paraId="008409D8" w14:textId="77777777" w:rsidR="00EC67AA" w:rsidRPr="00C14C4D" w:rsidRDefault="00EC67AA" w:rsidP="00EC67AA">
            <w:pPr>
              <w:spacing w:after="0" w:line="240" w:lineRule="auto"/>
              <w:jc w:val="both"/>
              <w:rPr>
                <w:rFonts w:ascii="Times New Roman" w:hAnsi="Times New Roman" w:cs="Times New Roman"/>
                <w:iCs/>
                <w:sz w:val="22"/>
                <w:szCs w:val="22"/>
              </w:rPr>
            </w:pPr>
            <w:r w:rsidRPr="00EA5A67">
              <w:rPr>
                <w:rFonts w:ascii="Times New Roman" w:hAnsi="Times New Roman" w:cs="Times New Roman"/>
                <w:iCs/>
                <w:sz w:val="22"/>
                <w:szCs w:val="22"/>
              </w:rPr>
              <w:t>Temperatūros skiriamoji geba ≤0,1K.</w:t>
            </w:r>
          </w:p>
          <w:p w14:paraId="647A445C" w14:textId="77777777" w:rsidR="00EC67AA"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lastRenderedPageBreak/>
              <w:t>Ultragarsinio impulso skleidimo matavimo charakteristikos ir pateikimas turi būti: greitis m/s ir trukmė µs.</w:t>
            </w:r>
          </w:p>
          <w:p w14:paraId="419D73A9" w14:textId="77777777" w:rsidR="00EC67AA" w:rsidRPr="00C14C4D" w:rsidRDefault="00EC67AA" w:rsidP="00EC67AA">
            <w:pPr>
              <w:spacing w:after="0" w:line="240" w:lineRule="auto"/>
              <w:jc w:val="both"/>
              <w:rPr>
                <w:rFonts w:ascii="Times New Roman" w:hAnsi="Times New Roman" w:cs="Times New Roman"/>
                <w:iCs/>
                <w:sz w:val="22"/>
                <w:szCs w:val="22"/>
              </w:rPr>
            </w:pPr>
            <w:r w:rsidRPr="00BB51A8">
              <w:rPr>
                <w:rFonts w:ascii="Times New Roman" w:hAnsi="Times New Roman" w:cs="Times New Roman"/>
                <w:iCs/>
                <w:sz w:val="22"/>
                <w:szCs w:val="22"/>
              </w:rPr>
              <w:t xml:space="preserve">Ultragarso impulso skleidimo per bandinį išvestinės skaitinės ir grafinės ne mažiau kaip: Pagreitis (angl. </w:t>
            </w:r>
            <w:proofErr w:type="spellStart"/>
            <w:r w:rsidRPr="00BB51A8">
              <w:rPr>
                <w:rFonts w:ascii="Times New Roman" w:hAnsi="Times New Roman" w:cs="Times New Roman"/>
                <w:iCs/>
                <w:sz w:val="22"/>
                <w:szCs w:val="22"/>
              </w:rPr>
              <w:t>Derivative</w:t>
            </w:r>
            <w:proofErr w:type="spellEnd"/>
            <w:r w:rsidRPr="00BB51A8">
              <w:rPr>
                <w:rFonts w:ascii="Times New Roman" w:hAnsi="Times New Roman" w:cs="Times New Roman"/>
                <w:iCs/>
                <w:sz w:val="22"/>
                <w:szCs w:val="22"/>
              </w:rPr>
              <w:t>) ir  kreivės trajektorij</w:t>
            </w:r>
            <w:r>
              <w:rPr>
                <w:rFonts w:ascii="Times New Roman" w:hAnsi="Times New Roman" w:cs="Times New Roman"/>
                <w:iCs/>
                <w:sz w:val="22"/>
                <w:szCs w:val="22"/>
              </w:rPr>
              <w:t>a</w:t>
            </w:r>
            <w:r w:rsidRPr="00BB51A8">
              <w:rPr>
                <w:rFonts w:ascii="Times New Roman" w:hAnsi="Times New Roman" w:cs="Times New Roman"/>
                <w:iCs/>
                <w:sz w:val="22"/>
                <w:szCs w:val="22"/>
              </w:rPr>
              <w:t xml:space="preserve"> (angl. </w:t>
            </w:r>
            <w:proofErr w:type="spellStart"/>
            <w:r w:rsidRPr="00BB51A8">
              <w:rPr>
                <w:rFonts w:ascii="Times New Roman" w:hAnsi="Times New Roman" w:cs="Times New Roman"/>
                <w:iCs/>
                <w:sz w:val="22"/>
                <w:szCs w:val="22"/>
              </w:rPr>
              <w:t>Curvature</w:t>
            </w:r>
            <w:proofErr w:type="spellEnd"/>
            <w:r w:rsidRPr="00BB51A8">
              <w:rPr>
                <w:rFonts w:ascii="Times New Roman" w:hAnsi="Times New Roman" w:cs="Times New Roman"/>
                <w:iCs/>
                <w:sz w:val="22"/>
                <w:szCs w:val="22"/>
              </w:rPr>
              <w:t>).</w:t>
            </w:r>
          </w:p>
          <w:p w14:paraId="506AF176" w14:textId="77777777" w:rsidR="00EC67AA" w:rsidRPr="00BB51A8"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Dinaminis elastingumo modulio </w:t>
            </w:r>
            <w:r>
              <w:rPr>
                <w:rFonts w:ascii="Times New Roman" w:hAnsi="Times New Roman" w:cs="Times New Roman"/>
                <w:iCs/>
                <w:sz w:val="22"/>
                <w:szCs w:val="22"/>
              </w:rPr>
              <w:t>(</w:t>
            </w:r>
            <w:r w:rsidRPr="00BB51A8">
              <w:rPr>
                <w:rFonts w:ascii="Times New Roman" w:hAnsi="Times New Roman" w:cs="Times New Roman"/>
                <w:iCs/>
                <w:sz w:val="22"/>
                <w:szCs w:val="22"/>
              </w:rPr>
              <w:t>angl. E-</w:t>
            </w:r>
            <w:proofErr w:type="spellStart"/>
            <w:r w:rsidRPr="00BB51A8">
              <w:rPr>
                <w:rFonts w:ascii="Times New Roman" w:hAnsi="Times New Roman" w:cs="Times New Roman"/>
                <w:iCs/>
                <w:sz w:val="22"/>
                <w:szCs w:val="22"/>
              </w:rPr>
              <w:t>Modulus</w:t>
            </w:r>
            <w:proofErr w:type="spellEnd"/>
            <w:r w:rsidRPr="00BB51A8">
              <w:rPr>
                <w:rFonts w:ascii="Times New Roman" w:hAnsi="Times New Roman" w:cs="Times New Roman"/>
                <w:iCs/>
                <w:sz w:val="22"/>
                <w:szCs w:val="22"/>
              </w:rPr>
              <w:t>) parametro nustatymas ir pateikimas proceso metu.</w:t>
            </w:r>
          </w:p>
          <w:p w14:paraId="144B6351" w14:textId="31BE1841" w:rsidR="00EC67AA" w:rsidRPr="001153EF" w:rsidRDefault="00EC67AA" w:rsidP="00EC67AA">
            <w:pPr>
              <w:spacing w:after="0" w:line="240" w:lineRule="auto"/>
              <w:jc w:val="both"/>
              <w:rPr>
                <w:rFonts w:ascii="Times New Roman" w:hAnsi="Times New Roman" w:cs="Times New Roman"/>
                <w:iCs/>
                <w:sz w:val="22"/>
                <w:szCs w:val="22"/>
              </w:rPr>
            </w:pPr>
            <w:r w:rsidRPr="00BB51A8">
              <w:rPr>
                <w:rFonts w:ascii="Times New Roman" w:hAnsi="Times New Roman" w:cs="Times New Roman"/>
                <w:iCs/>
                <w:sz w:val="22"/>
                <w:szCs w:val="22"/>
              </w:rPr>
              <w:t xml:space="preserve">Būtinas Jungo modulio (angl. </w:t>
            </w:r>
            <w:proofErr w:type="spellStart"/>
            <w:r w:rsidRPr="00BB51A8">
              <w:rPr>
                <w:rFonts w:ascii="Times New Roman" w:hAnsi="Times New Roman" w:cs="Times New Roman"/>
                <w:iCs/>
                <w:sz w:val="22"/>
                <w:szCs w:val="22"/>
              </w:rPr>
              <w:t>Youngs</w:t>
            </w:r>
            <w:proofErr w:type="spellEnd"/>
            <w:r w:rsidRPr="00BB51A8">
              <w:rPr>
                <w:rFonts w:ascii="Times New Roman" w:hAnsi="Times New Roman" w:cs="Times New Roman"/>
                <w:iCs/>
                <w:sz w:val="22"/>
                <w:szCs w:val="22"/>
              </w:rPr>
              <w:t xml:space="preserve"> </w:t>
            </w:r>
            <w:proofErr w:type="spellStart"/>
            <w:r w:rsidRPr="00BB51A8">
              <w:rPr>
                <w:rFonts w:ascii="Times New Roman" w:hAnsi="Times New Roman" w:cs="Times New Roman"/>
                <w:iCs/>
                <w:sz w:val="22"/>
                <w:szCs w:val="22"/>
              </w:rPr>
              <w:t>Modulus</w:t>
            </w:r>
            <w:proofErr w:type="spellEnd"/>
            <w:r w:rsidRPr="00BB51A8">
              <w:rPr>
                <w:rFonts w:ascii="Times New Roman" w:hAnsi="Times New Roman" w:cs="Times New Roman"/>
                <w:iCs/>
                <w:sz w:val="22"/>
                <w:szCs w:val="22"/>
              </w:rPr>
              <w:t>)</w:t>
            </w:r>
            <w:r w:rsidRPr="00C14C4D">
              <w:rPr>
                <w:rFonts w:ascii="Times New Roman" w:hAnsi="Times New Roman" w:cs="Times New Roman"/>
                <w:iCs/>
                <w:sz w:val="22"/>
                <w:szCs w:val="22"/>
              </w:rPr>
              <w:t xml:space="preserve"> matavimas.</w:t>
            </w:r>
          </w:p>
        </w:tc>
        <w:tc>
          <w:tcPr>
            <w:tcW w:w="4961" w:type="dxa"/>
            <w:tcBorders>
              <w:top w:val="single" w:sz="4" w:space="0" w:color="auto"/>
              <w:left w:val="single" w:sz="4" w:space="0" w:color="auto"/>
              <w:bottom w:val="single" w:sz="4" w:space="0" w:color="auto"/>
              <w:right w:val="single" w:sz="4" w:space="0" w:color="auto"/>
            </w:tcBorders>
          </w:tcPr>
          <w:p w14:paraId="2B2DD1B9" w14:textId="77777777" w:rsidR="00EC67AA" w:rsidRPr="007032D4" w:rsidRDefault="00EC67AA" w:rsidP="00EC67AA">
            <w:pPr>
              <w:pStyle w:val="BodyTextIndent"/>
              <w:spacing w:after="0" w:line="240" w:lineRule="auto"/>
              <w:ind w:left="0"/>
              <w:rPr>
                <w:rFonts w:ascii="Times New Roman" w:hAnsi="Times New Roman" w:cs="Times New Roman"/>
                <w:color w:val="FF0000"/>
                <w:sz w:val="22"/>
                <w:szCs w:val="22"/>
              </w:rPr>
            </w:pPr>
          </w:p>
        </w:tc>
      </w:tr>
      <w:tr w:rsidR="00EC67AA" w:rsidRPr="007032D4" w14:paraId="005A8C18" w14:textId="77777777" w:rsidTr="00FB4542">
        <w:tc>
          <w:tcPr>
            <w:tcW w:w="738" w:type="dxa"/>
            <w:tcBorders>
              <w:top w:val="single" w:sz="4" w:space="0" w:color="auto"/>
              <w:left w:val="single" w:sz="4" w:space="0" w:color="auto"/>
              <w:bottom w:val="single" w:sz="4" w:space="0" w:color="auto"/>
              <w:right w:val="single" w:sz="4" w:space="0" w:color="auto"/>
            </w:tcBorders>
          </w:tcPr>
          <w:p w14:paraId="282EDAAC"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1.3.</w:t>
            </w:r>
          </w:p>
        </w:tc>
        <w:tc>
          <w:tcPr>
            <w:tcW w:w="5103" w:type="dxa"/>
            <w:tcBorders>
              <w:top w:val="single" w:sz="4" w:space="0" w:color="auto"/>
              <w:left w:val="single" w:sz="4" w:space="0" w:color="auto"/>
              <w:bottom w:val="single" w:sz="4" w:space="0" w:color="auto"/>
              <w:right w:val="single" w:sz="4" w:space="0" w:color="auto"/>
            </w:tcBorders>
          </w:tcPr>
          <w:p w14:paraId="2887B374" w14:textId="1A7F4946" w:rsidR="00EC67AA" w:rsidRPr="001153EF"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Turi būti užtikrinamas gautų duomenų diskretiškumas lyginant su referenciniu „VICAT“ metodo matavimu. Turi sutapti abiejų matavim</w:t>
            </w:r>
            <w:r>
              <w:rPr>
                <w:rFonts w:ascii="Times New Roman" w:hAnsi="Times New Roman" w:cs="Times New Roman"/>
                <w:iCs/>
                <w:sz w:val="22"/>
                <w:szCs w:val="22"/>
              </w:rPr>
              <w:t>ų</w:t>
            </w:r>
            <w:r w:rsidRPr="00C14C4D">
              <w:rPr>
                <w:rFonts w:ascii="Times New Roman" w:hAnsi="Times New Roman" w:cs="Times New Roman"/>
                <w:iCs/>
                <w:sz w:val="22"/>
                <w:szCs w:val="22"/>
              </w:rPr>
              <w:t xml:space="preserve"> referencinių taškų – markerių pradinio ir galutinio stingimo proceso taškuose.</w:t>
            </w:r>
          </w:p>
        </w:tc>
        <w:tc>
          <w:tcPr>
            <w:tcW w:w="4961" w:type="dxa"/>
            <w:tcBorders>
              <w:top w:val="single" w:sz="4" w:space="0" w:color="auto"/>
              <w:left w:val="single" w:sz="4" w:space="0" w:color="auto"/>
              <w:bottom w:val="single" w:sz="4" w:space="0" w:color="auto"/>
              <w:right w:val="single" w:sz="4" w:space="0" w:color="auto"/>
            </w:tcBorders>
          </w:tcPr>
          <w:p w14:paraId="78FC411A" w14:textId="77777777" w:rsidR="00EC67AA" w:rsidRPr="007032D4" w:rsidRDefault="00EC67AA" w:rsidP="00EC67AA">
            <w:pPr>
              <w:pStyle w:val="BodyTextIndent"/>
              <w:spacing w:after="0" w:line="240" w:lineRule="auto"/>
              <w:ind w:left="0"/>
              <w:rPr>
                <w:rFonts w:ascii="Times New Roman" w:hAnsi="Times New Roman" w:cs="Times New Roman"/>
                <w:color w:val="FF0000"/>
                <w:sz w:val="22"/>
                <w:szCs w:val="22"/>
              </w:rPr>
            </w:pPr>
          </w:p>
        </w:tc>
      </w:tr>
      <w:tr w:rsidR="00EC67AA" w:rsidRPr="007032D4" w14:paraId="5527FA29" w14:textId="77777777" w:rsidTr="00FB4542">
        <w:tc>
          <w:tcPr>
            <w:tcW w:w="738" w:type="dxa"/>
            <w:tcBorders>
              <w:top w:val="single" w:sz="4" w:space="0" w:color="auto"/>
              <w:left w:val="single" w:sz="4" w:space="0" w:color="auto"/>
              <w:bottom w:val="single" w:sz="4" w:space="0" w:color="auto"/>
              <w:right w:val="single" w:sz="4" w:space="0" w:color="auto"/>
            </w:tcBorders>
          </w:tcPr>
          <w:p w14:paraId="2CBD1BC2"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1.4.</w:t>
            </w:r>
          </w:p>
        </w:tc>
        <w:tc>
          <w:tcPr>
            <w:tcW w:w="5103" w:type="dxa"/>
            <w:tcBorders>
              <w:top w:val="single" w:sz="4" w:space="0" w:color="auto"/>
              <w:left w:val="single" w:sz="4" w:space="0" w:color="auto"/>
              <w:bottom w:val="single" w:sz="4" w:space="0" w:color="auto"/>
              <w:right w:val="single" w:sz="4" w:space="0" w:color="auto"/>
            </w:tcBorders>
          </w:tcPr>
          <w:p w14:paraId="6DDEAD4E" w14:textId="21BC7504" w:rsidR="00EC67AA" w:rsidRPr="001153EF"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Turi būti pateiktos ne mažiau kaip 4 silikoninės bandinio formavimo - matavimo formos.  Formos turi būti su jutikliais, pakankamo ilgio sujungimo laidais, antgaliais, ultragarso davikliais (pora). Formos bandinio tūris 200 ml±5%. Bandinys cilindro formos. Bandinio skersmuo </w:t>
            </w:r>
            <w:r>
              <w:rPr>
                <w:rFonts w:ascii="Times New Roman" w:hAnsi="Times New Roman" w:cs="Times New Roman"/>
                <w:iCs/>
                <w:sz w:val="22"/>
                <w:szCs w:val="22"/>
              </w:rPr>
              <w:t>50–</w:t>
            </w:r>
            <w:r w:rsidRPr="00C14C4D">
              <w:rPr>
                <w:rFonts w:ascii="Times New Roman" w:hAnsi="Times New Roman" w:cs="Times New Roman"/>
                <w:iCs/>
                <w:sz w:val="22"/>
                <w:szCs w:val="22"/>
              </w:rPr>
              <w:t>70 mm</w:t>
            </w:r>
            <w:r>
              <w:rPr>
                <w:rFonts w:ascii="Times New Roman" w:hAnsi="Times New Roman" w:cs="Times New Roman"/>
                <w:iCs/>
                <w:sz w:val="22"/>
                <w:szCs w:val="22"/>
              </w:rPr>
              <w:t xml:space="preserve"> ribose</w:t>
            </w:r>
            <w:r w:rsidRPr="00C14C4D">
              <w:rPr>
                <w:rFonts w:ascii="Times New Roman" w:hAnsi="Times New Roman" w:cs="Times New Roman"/>
                <w:iCs/>
                <w:sz w:val="22"/>
                <w:szCs w:val="22"/>
              </w:rPr>
              <w:t>. Forma išardoma, ultragarsiniai davikliai išimami, forma skirta praplovimui.</w:t>
            </w:r>
            <w:r w:rsidRPr="00C14C4D">
              <w:t xml:space="preserve"> </w:t>
            </w:r>
            <w:r w:rsidRPr="00C14C4D">
              <w:rPr>
                <w:rFonts w:ascii="Times New Roman" w:hAnsi="Times New Roman" w:cs="Times New Roman"/>
                <w:iCs/>
                <w:sz w:val="22"/>
                <w:szCs w:val="22"/>
              </w:rPr>
              <w:t>Turi būti antivibracinės kojelės.</w:t>
            </w:r>
          </w:p>
        </w:tc>
        <w:tc>
          <w:tcPr>
            <w:tcW w:w="4961" w:type="dxa"/>
            <w:tcBorders>
              <w:top w:val="single" w:sz="4" w:space="0" w:color="auto"/>
              <w:left w:val="single" w:sz="4" w:space="0" w:color="auto"/>
              <w:bottom w:val="single" w:sz="4" w:space="0" w:color="auto"/>
              <w:right w:val="single" w:sz="4" w:space="0" w:color="auto"/>
            </w:tcBorders>
          </w:tcPr>
          <w:p w14:paraId="12AB6AAC" w14:textId="77777777" w:rsidR="00EC67AA" w:rsidRPr="007032D4" w:rsidRDefault="00EC67AA" w:rsidP="00EC67AA">
            <w:pPr>
              <w:pStyle w:val="BodyTextIndent"/>
              <w:spacing w:after="0" w:line="240" w:lineRule="auto"/>
              <w:ind w:left="0"/>
              <w:rPr>
                <w:rFonts w:ascii="Times New Roman" w:hAnsi="Times New Roman" w:cs="Times New Roman"/>
                <w:color w:val="FF0000"/>
                <w:sz w:val="22"/>
                <w:szCs w:val="22"/>
              </w:rPr>
            </w:pPr>
          </w:p>
        </w:tc>
      </w:tr>
      <w:tr w:rsidR="00EC67AA" w:rsidRPr="007032D4" w14:paraId="2707AB8D" w14:textId="77777777" w:rsidTr="00FB4542">
        <w:tc>
          <w:tcPr>
            <w:tcW w:w="738" w:type="dxa"/>
            <w:tcBorders>
              <w:top w:val="single" w:sz="4" w:space="0" w:color="auto"/>
              <w:left w:val="single" w:sz="4" w:space="0" w:color="auto"/>
              <w:bottom w:val="single" w:sz="4" w:space="0" w:color="auto"/>
              <w:right w:val="single" w:sz="4" w:space="0" w:color="auto"/>
            </w:tcBorders>
          </w:tcPr>
          <w:p w14:paraId="79B4E124"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1.5.</w:t>
            </w:r>
          </w:p>
        </w:tc>
        <w:tc>
          <w:tcPr>
            <w:tcW w:w="5103" w:type="dxa"/>
            <w:tcBorders>
              <w:top w:val="single" w:sz="4" w:space="0" w:color="auto"/>
              <w:left w:val="single" w:sz="4" w:space="0" w:color="auto"/>
              <w:bottom w:val="single" w:sz="4" w:space="0" w:color="auto"/>
              <w:right w:val="single" w:sz="4" w:space="0" w:color="auto"/>
            </w:tcBorders>
          </w:tcPr>
          <w:p w14:paraId="54D0BC2C"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Integruota bandinių susitraukimo ir plėtimosi matavimo sistema su ne mažiau kaip 4 vnt. nerūdijančio plieno cementinių prizmių gamybos ir stebėjimo formomis. Formavimo ir matavimo procesas turi būti vykdomas vienu metu visų 4 bandinių.</w:t>
            </w:r>
            <w:r>
              <w:rPr>
                <w:rFonts w:ascii="Times New Roman" w:hAnsi="Times New Roman" w:cs="Times New Roman"/>
                <w:iCs/>
                <w:sz w:val="22"/>
                <w:szCs w:val="22"/>
              </w:rPr>
              <w:t xml:space="preserve"> </w:t>
            </w:r>
            <w:r w:rsidRPr="00C14C4D">
              <w:rPr>
                <w:rFonts w:ascii="Times New Roman" w:hAnsi="Times New Roman" w:cs="Times New Roman"/>
                <w:iCs/>
                <w:sz w:val="22"/>
                <w:szCs w:val="22"/>
              </w:rPr>
              <w:t>Formų paviršiai privalo būti mechaniškai apdirbti ir poliruoti.</w:t>
            </w:r>
          </w:p>
          <w:p w14:paraId="66CFC7A3"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Duomenų integravimas į bendrą programinę įranga būtinas.</w:t>
            </w:r>
          </w:p>
          <w:p w14:paraId="4C2AA862"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Turi būti reperių, matuokli</w:t>
            </w:r>
            <w:r>
              <w:rPr>
                <w:rFonts w:ascii="Times New Roman" w:hAnsi="Times New Roman" w:cs="Times New Roman"/>
                <w:iCs/>
                <w:sz w:val="22"/>
                <w:szCs w:val="22"/>
              </w:rPr>
              <w:t>ų</w:t>
            </w:r>
            <w:r w:rsidRPr="00C14C4D">
              <w:rPr>
                <w:rFonts w:ascii="Times New Roman" w:hAnsi="Times New Roman" w:cs="Times New Roman"/>
                <w:iCs/>
                <w:sz w:val="22"/>
                <w:szCs w:val="22"/>
              </w:rPr>
              <w:t xml:space="preserve"> zondo, fiksavimo mechanizmai, reguliuojami.</w:t>
            </w:r>
          </w:p>
          <w:p w14:paraId="1B8A8E39" w14:textId="77777777" w:rsidR="00EC67AA" w:rsidRPr="00C14C4D" w:rsidRDefault="00EC67AA" w:rsidP="00EC67AA">
            <w:pPr>
              <w:spacing w:after="0" w:line="240" w:lineRule="auto"/>
              <w:jc w:val="both"/>
              <w:rPr>
                <w:rFonts w:ascii="Times New Roman" w:hAnsi="Times New Roman" w:cs="Times New Roman"/>
                <w:iCs/>
                <w:sz w:val="22"/>
                <w:szCs w:val="22"/>
              </w:rPr>
            </w:pPr>
            <w:r w:rsidRPr="00892A27">
              <w:rPr>
                <w:rFonts w:ascii="Times New Roman" w:hAnsi="Times New Roman" w:cs="Times New Roman"/>
                <w:iCs/>
                <w:sz w:val="22"/>
                <w:szCs w:val="22"/>
              </w:rPr>
              <w:t>Bandinio tūris 50ml±10%.</w:t>
            </w:r>
          </w:p>
          <w:p w14:paraId="2D7ED349"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 xml:space="preserve">Forma, matuoklis ir jutikliai turi būti skirti talpinti į klimatinę kamerą (ne siauresniame aplinkos diapazone kaip nuo 0 </w:t>
            </w:r>
            <w:r w:rsidRPr="00E14701">
              <w:rPr>
                <w:rFonts w:ascii="Times New Roman" w:hAnsi="Times New Roman" w:cs="Times New Roman"/>
                <w:iCs/>
                <w:sz w:val="22"/>
                <w:szCs w:val="22"/>
              </w:rPr>
              <w:t xml:space="preserve">°C </w:t>
            </w:r>
            <w:r>
              <w:rPr>
                <w:rFonts w:ascii="Times New Roman" w:hAnsi="Times New Roman" w:cs="Times New Roman"/>
                <w:iCs/>
                <w:sz w:val="22"/>
                <w:szCs w:val="22"/>
              </w:rPr>
              <w:t>iki</w:t>
            </w:r>
            <w:r w:rsidRPr="00C14C4D">
              <w:rPr>
                <w:rFonts w:ascii="Times New Roman" w:hAnsi="Times New Roman" w:cs="Times New Roman"/>
                <w:iCs/>
                <w:sz w:val="22"/>
                <w:szCs w:val="22"/>
              </w:rPr>
              <w:t>+ 40 °C)</w:t>
            </w:r>
          </w:p>
          <w:p w14:paraId="757C624C" w14:textId="77777777" w:rsidR="00EC67AA" w:rsidRDefault="00EC67AA" w:rsidP="00EC67AA">
            <w:pPr>
              <w:spacing w:after="0" w:line="240" w:lineRule="auto"/>
              <w:jc w:val="both"/>
              <w:rPr>
                <w:rFonts w:ascii="Times New Roman" w:hAnsi="Times New Roman" w:cs="Times New Roman"/>
                <w:iCs/>
              </w:rPr>
            </w:pPr>
          </w:p>
          <w:p w14:paraId="3FD3E217"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Matuojamos charakteristikos:</w:t>
            </w:r>
          </w:p>
          <w:p w14:paraId="3E955629" w14:textId="77777777" w:rsidR="00EC67AA" w:rsidRPr="00FF2ED3" w:rsidRDefault="00EC67AA" w:rsidP="00EC67AA">
            <w:pPr>
              <w:spacing w:after="0" w:line="240" w:lineRule="auto"/>
              <w:jc w:val="both"/>
              <w:rPr>
                <w:rFonts w:ascii="Times New Roman" w:hAnsi="Times New Roman" w:cs="Times New Roman"/>
                <w:iCs/>
                <w:sz w:val="22"/>
                <w:szCs w:val="22"/>
                <w:u w:val="single"/>
              </w:rPr>
            </w:pPr>
            <w:r w:rsidRPr="00FF2ED3">
              <w:rPr>
                <w:rFonts w:ascii="Times New Roman" w:hAnsi="Times New Roman" w:cs="Times New Roman"/>
                <w:iCs/>
                <w:sz w:val="22"/>
                <w:szCs w:val="22"/>
                <w:u w:val="single"/>
              </w:rPr>
              <w:t>Temperatūra:</w:t>
            </w:r>
          </w:p>
          <w:p w14:paraId="02173984"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Aplinkos ir kiekvieno bandinio:</w:t>
            </w:r>
          </w:p>
          <w:p w14:paraId="50062F87"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Skiriamoji geba (bandinio matavimas): ≤0,003 °C.</w:t>
            </w:r>
          </w:p>
          <w:p w14:paraId="185A3F31"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lastRenderedPageBreak/>
              <w:t>Matavimo diapazonas ne siauresnis kaip nuo</w:t>
            </w:r>
          </w:p>
          <w:p w14:paraId="5936E98E"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-30 °C iki +100 °C.</w:t>
            </w:r>
          </w:p>
          <w:p w14:paraId="2AAAD39D"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Duomenų surinkimo dažnis (keičiamas) maksimalus ≥100 Hz.</w:t>
            </w:r>
          </w:p>
          <w:p w14:paraId="7684FE81"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Matavimo diapazonas ne siauresnis kaip nuo           -25°C iki +40°C.</w:t>
            </w:r>
          </w:p>
          <w:p w14:paraId="67249E36" w14:textId="77777777" w:rsidR="00EC67AA" w:rsidRPr="00FF2ED3"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Skiriamoji geba (aplinkos): ≤0,05 °C.</w:t>
            </w:r>
          </w:p>
          <w:p w14:paraId="02D6677F" w14:textId="77777777" w:rsidR="00EC67AA" w:rsidRPr="00C14C4D" w:rsidRDefault="00EC67AA" w:rsidP="00EC67AA">
            <w:pPr>
              <w:spacing w:after="0" w:line="240" w:lineRule="auto"/>
              <w:jc w:val="both"/>
              <w:rPr>
                <w:rFonts w:ascii="Times New Roman" w:hAnsi="Times New Roman" w:cs="Times New Roman"/>
                <w:iCs/>
                <w:sz w:val="22"/>
                <w:szCs w:val="22"/>
              </w:rPr>
            </w:pPr>
            <w:r w:rsidRPr="00FF2ED3">
              <w:rPr>
                <w:rFonts w:ascii="Times New Roman" w:hAnsi="Times New Roman" w:cs="Times New Roman"/>
                <w:iCs/>
                <w:sz w:val="22"/>
                <w:szCs w:val="22"/>
              </w:rPr>
              <w:t>Duomenų surinkimo dažnis</w:t>
            </w:r>
            <w:r w:rsidRPr="00C14C4D">
              <w:rPr>
                <w:rFonts w:ascii="Times New Roman" w:hAnsi="Times New Roman" w:cs="Times New Roman"/>
                <w:iCs/>
                <w:sz w:val="22"/>
                <w:szCs w:val="22"/>
              </w:rPr>
              <w:t xml:space="preserve"> (keičiamas) maksimalus ≥100 Hz</w:t>
            </w:r>
            <w:r>
              <w:rPr>
                <w:rFonts w:ascii="Times New Roman" w:hAnsi="Times New Roman" w:cs="Times New Roman"/>
                <w:iCs/>
                <w:sz w:val="22"/>
                <w:szCs w:val="22"/>
              </w:rPr>
              <w:t>.</w:t>
            </w:r>
          </w:p>
          <w:p w14:paraId="764D197F"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Linijinio plėtimosi – traukimosi matuoklis su LCD/LED ekranu ir zondu:</w:t>
            </w:r>
          </w:p>
          <w:p w14:paraId="06D81D58" w14:textId="77777777" w:rsidR="00EC67AA" w:rsidRPr="00C14C4D"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Matavimo bazė, ilgis 100 mm</w:t>
            </w:r>
            <w:r>
              <w:rPr>
                <w:rFonts w:ascii="Times New Roman" w:hAnsi="Times New Roman" w:cs="Times New Roman"/>
                <w:iCs/>
                <w:sz w:val="22"/>
                <w:szCs w:val="22"/>
              </w:rPr>
              <w:t>.</w:t>
            </w:r>
          </w:p>
          <w:p w14:paraId="2B2E11A6" w14:textId="2BEA7B48" w:rsidR="00EC67AA" w:rsidRPr="001153EF" w:rsidRDefault="00EC67AA" w:rsidP="00EC67AA">
            <w:pPr>
              <w:spacing w:after="0" w:line="240" w:lineRule="auto"/>
              <w:jc w:val="both"/>
              <w:rPr>
                <w:rFonts w:ascii="Times New Roman" w:hAnsi="Times New Roman" w:cs="Times New Roman"/>
                <w:iCs/>
                <w:sz w:val="22"/>
                <w:szCs w:val="22"/>
              </w:rPr>
            </w:pPr>
            <w:r w:rsidRPr="00C14C4D">
              <w:rPr>
                <w:rFonts w:ascii="Times New Roman" w:hAnsi="Times New Roman" w:cs="Times New Roman"/>
                <w:iCs/>
                <w:sz w:val="22"/>
                <w:szCs w:val="22"/>
              </w:rPr>
              <w:t>Matavimo tikslumas ilgis ≤0,0001 mm</w:t>
            </w:r>
            <w:r>
              <w:rPr>
                <w:rFonts w:ascii="Times New Roman" w:hAnsi="Times New Roman" w:cs="Times New Roman"/>
                <w:iCs/>
                <w:sz w:val="22"/>
                <w:szCs w:val="22"/>
              </w:rPr>
              <w:t>.</w:t>
            </w:r>
          </w:p>
        </w:tc>
        <w:tc>
          <w:tcPr>
            <w:tcW w:w="4961" w:type="dxa"/>
            <w:tcBorders>
              <w:top w:val="single" w:sz="4" w:space="0" w:color="auto"/>
              <w:left w:val="single" w:sz="4" w:space="0" w:color="auto"/>
              <w:bottom w:val="single" w:sz="4" w:space="0" w:color="auto"/>
              <w:right w:val="single" w:sz="4" w:space="0" w:color="auto"/>
            </w:tcBorders>
          </w:tcPr>
          <w:p w14:paraId="2167D29E" w14:textId="77777777" w:rsidR="00EC67AA" w:rsidRPr="007032D4" w:rsidRDefault="00EC67AA" w:rsidP="00EC67AA">
            <w:pPr>
              <w:pStyle w:val="BodyTextIndent"/>
              <w:spacing w:after="0" w:line="240" w:lineRule="auto"/>
              <w:rPr>
                <w:rFonts w:ascii="Times New Roman" w:hAnsi="Times New Roman" w:cs="Times New Roman"/>
                <w:sz w:val="22"/>
                <w:szCs w:val="22"/>
              </w:rPr>
            </w:pPr>
          </w:p>
        </w:tc>
      </w:tr>
      <w:tr w:rsidR="00EC67AA" w:rsidRPr="007032D4" w14:paraId="1B0441A3" w14:textId="77777777" w:rsidTr="00FB4542">
        <w:tc>
          <w:tcPr>
            <w:tcW w:w="738" w:type="dxa"/>
            <w:tcBorders>
              <w:top w:val="single" w:sz="4" w:space="0" w:color="auto"/>
              <w:left w:val="single" w:sz="4" w:space="0" w:color="auto"/>
              <w:bottom w:val="single" w:sz="4" w:space="0" w:color="auto"/>
              <w:right w:val="single" w:sz="4" w:space="0" w:color="auto"/>
            </w:tcBorders>
          </w:tcPr>
          <w:p w14:paraId="6C4D03E1"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1.6.</w:t>
            </w:r>
          </w:p>
        </w:tc>
        <w:tc>
          <w:tcPr>
            <w:tcW w:w="5103" w:type="dxa"/>
            <w:tcBorders>
              <w:top w:val="single" w:sz="4" w:space="0" w:color="auto"/>
              <w:left w:val="single" w:sz="4" w:space="0" w:color="auto"/>
              <w:bottom w:val="single" w:sz="4" w:space="0" w:color="auto"/>
              <w:right w:val="single" w:sz="4" w:space="0" w:color="auto"/>
            </w:tcBorders>
          </w:tcPr>
          <w:p w14:paraId="5077C2BB" w14:textId="77777777" w:rsidR="00EC67AA" w:rsidRPr="008F3625"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Integruotos programinės įrangos komplektas duomenų surinkimui ir kaupimui, pateikimui - atvaizdavimui grafiniu ir skaitiniu pavidalu, eksportui, bandinio parametrų charakterizavimui. Turi būti suderinama su ne žemesne OS Windows 11 versija.</w:t>
            </w:r>
          </w:p>
          <w:p w14:paraId="1D7671FA" w14:textId="77777777" w:rsidR="00EC67AA" w:rsidRPr="008F3625"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Susiejimas duomenų iš silikoninių ir nerūdijančio plieno formų būtinas. Vienai silikoninei formai turi būti galima priskirti ≥2 prizmių formų procesinių duomenų.</w:t>
            </w:r>
          </w:p>
          <w:p w14:paraId="63FF48D4" w14:textId="77777777" w:rsidR="00EC67AA" w:rsidRPr="008F3625"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Automatinis duomenų saugojimas būtinas.</w:t>
            </w:r>
          </w:p>
          <w:p w14:paraId="5399D205" w14:textId="77777777" w:rsidR="00EC67AA" w:rsidRPr="008F3625"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Tarpinis duomenų eksportas ir spausdinimas proceso metu būtinas.</w:t>
            </w:r>
          </w:p>
          <w:p w14:paraId="619ACFC3" w14:textId="4F1ADDF6" w:rsidR="00EC67AA" w:rsidRPr="001153EF"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Programinės įrangos kalba – anglų arba lietuvių.</w:t>
            </w:r>
          </w:p>
        </w:tc>
        <w:tc>
          <w:tcPr>
            <w:tcW w:w="4961" w:type="dxa"/>
            <w:tcBorders>
              <w:top w:val="single" w:sz="4" w:space="0" w:color="auto"/>
              <w:left w:val="single" w:sz="4" w:space="0" w:color="auto"/>
              <w:bottom w:val="single" w:sz="4" w:space="0" w:color="auto"/>
              <w:right w:val="single" w:sz="4" w:space="0" w:color="auto"/>
            </w:tcBorders>
          </w:tcPr>
          <w:p w14:paraId="0B2163F4" w14:textId="77777777" w:rsidR="00EC67AA" w:rsidRPr="007032D4" w:rsidRDefault="00EC67AA" w:rsidP="00EC67AA">
            <w:pPr>
              <w:pStyle w:val="BodyTextIndent"/>
              <w:spacing w:after="0" w:line="240" w:lineRule="auto"/>
              <w:ind w:left="0"/>
              <w:rPr>
                <w:rFonts w:ascii="Times New Roman" w:hAnsi="Times New Roman" w:cs="Times New Roman"/>
                <w:sz w:val="22"/>
                <w:szCs w:val="22"/>
              </w:rPr>
            </w:pPr>
          </w:p>
        </w:tc>
      </w:tr>
      <w:tr w:rsidR="00EC67AA" w:rsidRPr="007032D4" w14:paraId="65FAD54A" w14:textId="77777777" w:rsidTr="00FB4542">
        <w:tc>
          <w:tcPr>
            <w:tcW w:w="738" w:type="dxa"/>
            <w:tcBorders>
              <w:top w:val="single" w:sz="4" w:space="0" w:color="auto"/>
              <w:left w:val="single" w:sz="4" w:space="0" w:color="auto"/>
              <w:bottom w:val="single" w:sz="4" w:space="0" w:color="auto"/>
              <w:right w:val="single" w:sz="4" w:space="0" w:color="auto"/>
            </w:tcBorders>
          </w:tcPr>
          <w:p w14:paraId="0D56D453"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1.7.</w:t>
            </w:r>
          </w:p>
        </w:tc>
        <w:tc>
          <w:tcPr>
            <w:tcW w:w="5103" w:type="dxa"/>
            <w:tcBorders>
              <w:top w:val="single" w:sz="4" w:space="0" w:color="auto"/>
              <w:left w:val="single" w:sz="4" w:space="0" w:color="auto"/>
              <w:bottom w:val="single" w:sz="4" w:space="0" w:color="auto"/>
              <w:right w:val="single" w:sz="4" w:space="0" w:color="auto"/>
            </w:tcBorders>
          </w:tcPr>
          <w:p w14:paraId="3174E417" w14:textId="77777777" w:rsidR="00EC67AA" w:rsidRPr="008F3625"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Turi būti pateikiamas tinkamas laboratorinis stalas ergonomiškam ir praktiškam įrangos išdėstymui ir proceso vykdymui bei organizavimui. Laidų ir kabelių instaliacija turi būti atlikta technologiniame lovyje.</w:t>
            </w:r>
          </w:p>
          <w:p w14:paraId="571C19EA" w14:textId="6C5F1E78" w:rsidR="00EC67AA" w:rsidRPr="001153EF"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 xml:space="preserve">Turi būti padas – platforma su </w:t>
            </w:r>
            <w:proofErr w:type="spellStart"/>
            <w:r w:rsidRPr="008F3625">
              <w:rPr>
                <w:rFonts w:ascii="Times New Roman" w:hAnsi="Times New Roman" w:cs="Times New Roman"/>
                <w:iCs/>
                <w:sz w:val="22"/>
                <w:szCs w:val="22"/>
              </w:rPr>
              <w:t>antivibracinėmis</w:t>
            </w:r>
            <w:proofErr w:type="spellEnd"/>
            <w:r w:rsidRPr="008F3625">
              <w:rPr>
                <w:rFonts w:ascii="Times New Roman" w:hAnsi="Times New Roman" w:cs="Times New Roman"/>
                <w:iCs/>
                <w:sz w:val="22"/>
                <w:szCs w:val="22"/>
              </w:rPr>
              <w:t xml:space="preserve"> kojelėmis įrangos ekspozicijai.</w:t>
            </w:r>
          </w:p>
        </w:tc>
        <w:tc>
          <w:tcPr>
            <w:tcW w:w="4961" w:type="dxa"/>
            <w:tcBorders>
              <w:top w:val="single" w:sz="4" w:space="0" w:color="auto"/>
              <w:left w:val="single" w:sz="4" w:space="0" w:color="auto"/>
              <w:bottom w:val="single" w:sz="4" w:space="0" w:color="auto"/>
              <w:right w:val="single" w:sz="4" w:space="0" w:color="auto"/>
            </w:tcBorders>
          </w:tcPr>
          <w:p w14:paraId="6C1B14D3" w14:textId="77777777" w:rsidR="00EC67AA" w:rsidRPr="007032D4" w:rsidRDefault="00EC67AA" w:rsidP="00EC67AA">
            <w:pPr>
              <w:pStyle w:val="BodyTextIndent"/>
              <w:spacing w:after="0" w:line="240" w:lineRule="auto"/>
              <w:ind w:left="0"/>
              <w:rPr>
                <w:rFonts w:ascii="Times New Roman" w:hAnsi="Times New Roman" w:cs="Times New Roman"/>
                <w:sz w:val="22"/>
                <w:szCs w:val="22"/>
              </w:rPr>
            </w:pPr>
          </w:p>
        </w:tc>
      </w:tr>
      <w:tr w:rsidR="00EC67AA" w:rsidRPr="007032D4" w14:paraId="7B2DFB1B" w14:textId="77777777" w:rsidTr="00FB4542">
        <w:tc>
          <w:tcPr>
            <w:tcW w:w="738" w:type="dxa"/>
            <w:tcBorders>
              <w:top w:val="single" w:sz="4" w:space="0" w:color="auto"/>
              <w:left w:val="single" w:sz="4" w:space="0" w:color="auto"/>
              <w:bottom w:val="single" w:sz="4" w:space="0" w:color="auto"/>
              <w:right w:val="single" w:sz="4" w:space="0" w:color="auto"/>
            </w:tcBorders>
          </w:tcPr>
          <w:p w14:paraId="62D574C9" w14:textId="77777777" w:rsidR="00EC67AA" w:rsidRPr="007032D4" w:rsidRDefault="00EC67AA" w:rsidP="00EC67AA">
            <w:pPr>
              <w:spacing w:after="0" w:line="240" w:lineRule="auto"/>
              <w:jc w:val="center"/>
              <w:rPr>
                <w:rFonts w:ascii="Times New Roman" w:hAnsi="Times New Roman" w:cs="Times New Roman"/>
                <w:sz w:val="22"/>
                <w:szCs w:val="22"/>
              </w:rPr>
            </w:pPr>
            <w:r w:rsidRPr="007032D4">
              <w:rPr>
                <w:rFonts w:ascii="Times New Roman" w:hAnsi="Times New Roman" w:cs="Times New Roman"/>
                <w:sz w:val="22"/>
                <w:szCs w:val="22"/>
              </w:rPr>
              <w:t>1.8.</w:t>
            </w:r>
          </w:p>
        </w:tc>
        <w:tc>
          <w:tcPr>
            <w:tcW w:w="5103" w:type="dxa"/>
            <w:tcBorders>
              <w:top w:val="single" w:sz="4" w:space="0" w:color="auto"/>
              <w:left w:val="single" w:sz="4" w:space="0" w:color="auto"/>
              <w:bottom w:val="single" w:sz="4" w:space="0" w:color="auto"/>
              <w:right w:val="single" w:sz="4" w:space="0" w:color="auto"/>
            </w:tcBorders>
          </w:tcPr>
          <w:p w14:paraId="31EE3B5B" w14:textId="3E443AB9" w:rsidR="00EC67AA" w:rsidRPr="001153EF" w:rsidRDefault="00EC67AA" w:rsidP="00EC67AA">
            <w:pPr>
              <w:spacing w:after="0" w:line="240" w:lineRule="auto"/>
              <w:jc w:val="both"/>
              <w:rPr>
                <w:rFonts w:ascii="Times New Roman" w:hAnsi="Times New Roman" w:cs="Times New Roman"/>
                <w:iCs/>
                <w:sz w:val="22"/>
                <w:szCs w:val="22"/>
              </w:rPr>
            </w:pPr>
            <w:r w:rsidRPr="008F3625">
              <w:rPr>
                <w:rFonts w:ascii="Times New Roman" w:hAnsi="Times New Roman" w:cs="Times New Roman"/>
                <w:iCs/>
                <w:sz w:val="22"/>
                <w:szCs w:val="22"/>
              </w:rPr>
              <w:t>Maitinimas 230V/50Hz</w:t>
            </w:r>
          </w:p>
        </w:tc>
        <w:tc>
          <w:tcPr>
            <w:tcW w:w="4961" w:type="dxa"/>
            <w:tcBorders>
              <w:top w:val="single" w:sz="4" w:space="0" w:color="auto"/>
              <w:left w:val="single" w:sz="4" w:space="0" w:color="auto"/>
              <w:bottom w:val="single" w:sz="4" w:space="0" w:color="auto"/>
              <w:right w:val="single" w:sz="4" w:space="0" w:color="auto"/>
            </w:tcBorders>
          </w:tcPr>
          <w:p w14:paraId="1B67E0F6" w14:textId="77777777" w:rsidR="00EC67AA" w:rsidRPr="007032D4" w:rsidRDefault="00EC67AA" w:rsidP="00EC67AA">
            <w:pPr>
              <w:pStyle w:val="BodyTextIndent"/>
              <w:spacing w:after="0" w:line="240" w:lineRule="auto"/>
              <w:ind w:left="0"/>
              <w:rPr>
                <w:rFonts w:ascii="Times New Roman" w:hAnsi="Times New Roman" w:cs="Times New Roman"/>
                <w:sz w:val="22"/>
                <w:szCs w:val="22"/>
              </w:rPr>
            </w:pPr>
          </w:p>
        </w:tc>
      </w:tr>
    </w:tbl>
    <w:p w14:paraId="2FB78013" w14:textId="77777777" w:rsidR="00821B61" w:rsidRDefault="00821B61" w:rsidP="00821B61">
      <w:pPr>
        <w:spacing w:after="0" w:line="240" w:lineRule="auto"/>
        <w:jc w:val="both"/>
        <w:rPr>
          <w:rFonts w:ascii="Times New Roman" w:hAnsi="Times New Roman" w:cs="Times New Roman"/>
          <w:bCs/>
          <w:sz w:val="22"/>
          <w:szCs w:val="22"/>
        </w:rPr>
      </w:pPr>
    </w:p>
    <w:p w14:paraId="2025E232" w14:textId="7BE588A1" w:rsidR="002B4371" w:rsidRPr="00F33D5E" w:rsidRDefault="002B4371" w:rsidP="00821B61">
      <w:pPr>
        <w:spacing w:after="0" w:line="240" w:lineRule="auto"/>
        <w:jc w:val="both"/>
        <w:rPr>
          <w:rFonts w:ascii="Times New Roman" w:hAnsi="Times New Roman" w:cs="Times New Roman"/>
          <w:b/>
          <w:bCs/>
          <w:smallCaps/>
          <w:sz w:val="22"/>
          <w:szCs w:val="22"/>
        </w:rPr>
      </w:pPr>
      <w:r w:rsidRPr="00F33D5E">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 pateikti gamintojo techninę dokumentaciją (anglų arba lietuvių kalba), kuri patvirtina siūlomų prekių atitikimą keliamiems reikalavimams.</w:t>
      </w:r>
    </w:p>
    <w:p w14:paraId="55569B52" w14:textId="30573BCD" w:rsidR="008341AA" w:rsidRPr="007C5930" w:rsidRDefault="008341AA" w:rsidP="008341AA">
      <w:pPr>
        <w:pStyle w:val="ListParagraph"/>
        <w:tabs>
          <w:tab w:val="left" w:pos="567"/>
        </w:tabs>
        <w:spacing w:after="0" w:line="240" w:lineRule="auto"/>
        <w:ind w:left="0"/>
        <w:jc w:val="center"/>
        <w:rPr>
          <w:rFonts w:ascii="Times New Roman" w:hAnsi="Times New Roman" w:cs="Times New Roman"/>
          <w:sz w:val="22"/>
          <w:szCs w:val="22"/>
        </w:rPr>
      </w:pPr>
      <w:r w:rsidRPr="001A08D1">
        <w:rPr>
          <w:rFonts w:ascii="Times New Roman" w:hAnsi="Times New Roman" w:cs="Times New Roman"/>
          <w:bCs/>
          <w:sz w:val="22"/>
          <w:szCs w:val="22"/>
        </w:rPr>
        <w:t>_________________</w:t>
      </w:r>
    </w:p>
    <w:sectPr w:rsidR="008341AA" w:rsidRPr="007C5930" w:rsidSect="00996376">
      <w:headerReference w:type="default" r:id="rId8"/>
      <w:foot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9660D" w14:textId="77777777" w:rsidR="00183437" w:rsidRDefault="00183437" w:rsidP="00996376">
      <w:pPr>
        <w:spacing w:after="0" w:line="240" w:lineRule="auto"/>
      </w:pPr>
      <w:r>
        <w:separator/>
      </w:r>
    </w:p>
  </w:endnote>
  <w:endnote w:type="continuationSeparator" w:id="0">
    <w:p w14:paraId="6DBCA176" w14:textId="77777777" w:rsidR="00183437" w:rsidRDefault="00183437" w:rsidP="0099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279316"/>
      <w:docPartObj>
        <w:docPartGallery w:val="Page Numbers (Bottom of Page)"/>
        <w:docPartUnique/>
      </w:docPartObj>
    </w:sdtPr>
    <w:sdtEndPr>
      <w:rPr>
        <w:noProof/>
      </w:rPr>
    </w:sdtEndPr>
    <w:sdtContent>
      <w:p w14:paraId="215A1ECE" w14:textId="10882CCD" w:rsidR="00CE5DB3" w:rsidRDefault="00CE5D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9AFB49" w14:textId="77777777" w:rsidR="00CE5DB3" w:rsidRDefault="00CE5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7AA6" w14:textId="77777777" w:rsidR="00183437" w:rsidRDefault="00183437" w:rsidP="00996376">
      <w:pPr>
        <w:spacing w:after="0" w:line="240" w:lineRule="auto"/>
      </w:pPr>
      <w:r>
        <w:separator/>
      </w:r>
    </w:p>
  </w:footnote>
  <w:footnote w:type="continuationSeparator" w:id="0">
    <w:p w14:paraId="2BF176D8" w14:textId="77777777" w:rsidR="00183437" w:rsidRDefault="00183437" w:rsidP="00996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F3C50" w14:textId="77777777" w:rsidR="0023605F" w:rsidRDefault="0023605F" w:rsidP="0023605F">
    <w:pPr>
      <w:pStyle w:val="Header"/>
      <w:jc w:val="center"/>
    </w:pPr>
    <w:r>
      <w:rPr>
        <w:noProof/>
      </w:rPr>
      <w:drawing>
        <wp:inline distT="0" distB="0" distL="0" distR="0" wp14:anchorId="4A99C093" wp14:editId="077D9675">
          <wp:extent cx="3111938"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18088" cy="830313"/>
                  </a:xfrm>
                  <a:prstGeom prst="rect">
                    <a:avLst/>
                  </a:prstGeom>
                  <a:noFill/>
                  <a:ln>
                    <a:noFill/>
                  </a:ln>
                </pic:spPr>
              </pic:pic>
            </a:graphicData>
          </a:graphic>
        </wp:inline>
      </w:drawing>
    </w:r>
    <w:r>
      <w:t xml:space="preserve">       </w:t>
    </w:r>
    <w:r>
      <w:rPr>
        <w:noProof/>
      </w:rPr>
      <w:drawing>
        <wp:inline distT="0" distB="0" distL="0" distR="0" wp14:anchorId="7801ABD1" wp14:editId="73295C4C">
          <wp:extent cx="2247900" cy="849987"/>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271500" cy="858911"/>
                  </a:xfrm>
                  <a:prstGeom prst="rect">
                    <a:avLst/>
                  </a:prstGeom>
                  <a:noFill/>
                  <a:ln>
                    <a:noFill/>
                  </a:ln>
                </pic:spPr>
              </pic:pic>
            </a:graphicData>
          </a:graphic>
        </wp:inline>
      </w:drawing>
    </w:r>
  </w:p>
  <w:p w14:paraId="5D36CB27" w14:textId="77777777" w:rsidR="0023605F" w:rsidRDefault="0023605F" w:rsidP="00380551">
    <w:pPr>
      <w:pStyle w:val="Header"/>
      <w:jc w:val="right"/>
      <w:rPr>
        <w:rFonts w:ascii="Times New Roman" w:eastAsia="Calibri" w:hAnsi="Times New Roman" w:cs="Times New Roman"/>
        <w:color w:val="0070C0"/>
        <w:sz w:val="22"/>
        <w:szCs w:val="22"/>
      </w:rPr>
    </w:pPr>
  </w:p>
  <w:p w14:paraId="2EBF318D" w14:textId="19FB6AA4" w:rsidR="00757F18" w:rsidRPr="00380551" w:rsidRDefault="00380551" w:rsidP="00380551">
    <w:pPr>
      <w:pStyle w:val="Header"/>
      <w:jc w:val="right"/>
    </w:pPr>
    <w:r w:rsidRPr="00F050F2">
      <w:rPr>
        <w:rFonts w:ascii="Times New Roman" w:eastAsia="Calibri" w:hAnsi="Times New Roman" w:cs="Times New Roman"/>
        <w:color w:val="0070C0"/>
        <w:sz w:val="22"/>
        <w:szCs w:val="22"/>
      </w:rPr>
      <w:t>P</w:t>
    </w:r>
    <w:r>
      <w:rPr>
        <w:rFonts w:ascii="Times New Roman" w:eastAsia="Calibri" w:hAnsi="Times New Roman" w:cs="Times New Roman"/>
        <w:color w:val="0070C0"/>
        <w:sz w:val="22"/>
        <w:szCs w:val="22"/>
      </w:rPr>
      <w:t xml:space="preserve">asiūlymo formos </w:t>
    </w:r>
    <w:r w:rsidRPr="00F050F2">
      <w:rPr>
        <w:rFonts w:ascii="Times New Roman" w:eastAsia="Calibri" w:hAnsi="Times New Roman" w:cs="Times New Roman"/>
        <w:color w:val="0070C0"/>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7F44FE"/>
    <w:multiLevelType w:val="multilevel"/>
    <w:tmpl w:val="2BBAF246"/>
    <w:lvl w:ilvl="0">
      <w:start w:val="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292700"/>
    <w:multiLevelType w:val="multilevel"/>
    <w:tmpl w:val="48C890B2"/>
    <w:lvl w:ilvl="0">
      <w:start w:val="1"/>
      <w:numFmt w:val="decimal"/>
      <w:lvlText w:val="%1."/>
      <w:lvlJc w:val="left"/>
      <w:pPr>
        <w:ind w:left="720" w:hanging="360"/>
      </w:pPr>
    </w:lvl>
    <w:lvl w:ilvl="1">
      <w:start w:val="1"/>
      <w:numFmt w:val="decimal"/>
      <w:isLgl/>
      <w:lvlText w:val="%1.%2."/>
      <w:lvlJc w:val="left"/>
      <w:pPr>
        <w:ind w:left="1025" w:hanging="458"/>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C817A1"/>
    <w:multiLevelType w:val="multilevel"/>
    <w:tmpl w:val="6018DF74"/>
    <w:lvl w:ilvl="0">
      <w:start w:val="1"/>
      <w:numFmt w:val="decimal"/>
      <w:lvlText w:val="%1."/>
      <w:lvlJc w:val="left"/>
      <w:pPr>
        <w:ind w:left="367" w:hanging="367"/>
      </w:pPr>
      <w:rPr>
        <w:rFonts w:ascii="Times New Roman" w:eastAsiaTheme="minorEastAsia" w:hAnsi="Times New Roman" w:cs="Times New Roman"/>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A3085"/>
    <w:multiLevelType w:val="hybridMultilevel"/>
    <w:tmpl w:val="4420F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26CF9"/>
    <w:multiLevelType w:val="multilevel"/>
    <w:tmpl w:val="96EC5D6C"/>
    <w:lvl w:ilvl="0">
      <w:start w:val="1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BA4153"/>
    <w:multiLevelType w:val="hybridMultilevel"/>
    <w:tmpl w:val="84C2689C"/>
    <w:lvl w:ilvl="0" w:tplc="2CECA6CC">
      <w:start w:val="4"/>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8968B7"/>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D9554A"/>
    <w:multiLevelType w:val="hybridMultilevel"/>
    <w:tmpl w:val="B2DC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586DEB"/>
    <w:multiLevelType w:val="multilevel"/>
    <w:tmpl w:val="5ED467F0"/>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609DA"/>
    <w:multiLevelType w:val="multilevel"/>
    <w:tmpl w:val="431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D37858"/>
    <w:multiLevelType w:val="multilevel"/>
    <w:tmpl w:val="5718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12B72"/>
    <w:multiLevelType w:val="multilevel"/>
    <w:tmpl w:val="CAF83C36"/>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CC374F"/>
    <w:multiLevelType w:val="hybridMultilevel"/>
    <w:tmpl w:val="935245EC"/>
    <w:lvl w:ilvl="0" w:tplc="221E505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D85557"/>
    <w:multiLevelType w:val="hybridMultilevel"/>
    <w:tmpl w:val="D494D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193EB8"/>
    <w:multiLevelType w:val="hybridMultilevel"/>
    <w:tmpl w:val="27728AB8"/>
    <w:lvl w:ilvl="0" w:tplc="FC666DB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2"/>
  </w:num>
  <w:num w:numId="3">
    <w:abstractNumId w:val="16"/>
  </w:num>
  <w:num w:numId="4">
    <w:abstractNumId w:val="18"/>
  </w:num>
  <w:num w:numId="5">
    <w:abstractNumId w:val="4"/>
  </w:num>
  <w:num w:numId="6">
    <w:abstractNumId w:val="6"/>
  </w:num>
  <w:num w:numId="7">
    <w:abstractNumId w:val="5"/>
  </w:num>
  <w:num w:numId="8">
    <w:abstractNumId w:val="14"/>
  </w:num>
  <w:num w:numId="9">
    <w:abstractNumId w:val="14"/>
  </w:num>
  <w:num w:numId="10">
    <w:abstractNumId w:val="1"/>
  </w:num>
  <w:num w:numId="11">
    <w:abstractNumId w:val="19"/>
  </w:num>
  <w:num w:numId="12">
    <w:abstractNumId w:val="27"/>
  </w:num>
  <w:num w:numId="13">
    <w:abstractNumId w:val="9"/>
  </w:num>
  <w:num w:numId="14">
    <w:abstractNumId w:val="21"/>
  </w:num>
  <w:num w:numId="15">
    <w:abstractNumId w:val="20"/>
  </w:num>
  <w:num w:numId="16">
    <w:abstractNumId w:val="7"/>
  </w:num>
  <w:num w:numId="17">
    <w:abstractNumId w:val="15"/>
  </w:num>
  <w:num w:numId="18">
    <w:abstractNumId w:val="13"/>
  </w:num>
  <w:num w:numId="19">
    <w:abstractNumId w:val="8"/>
  </w:num>
  <w:num w:numId="20">
    <w:abstractNumId w:val="25"/>
  </w:num>
  <w:num w:numId="21">
    <w:abstractNumId w:val="2"/>
  </w:num>
  <w:num w:numId="22">
    <w:abstractNumId w:val="26"/>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2"/>
  </w:num>
  <w:num w:numId="27">
    <w:abstractNumId w:val="3"/>
  </w:num>
  <w:num w:numId="28">
    <w:abstractNumId w:val="24"/>
  </w:num>
  <w:num w:numId="29">
    <w:abstractNumId w:val="1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10214"/>
    <w:rsid w:val="00017E6C"/>
    <w:rsid w:val="000203A7"/>
    <w:rsid w:val="0002054D"/>
    <w:rsid w:val="0002108B"/>
    <w:rsid w:val="00023B57"/>
    <w:rsid w:val="0003011E"/>
    <w:rsid w:val="00037F37"/>
    <w:rsid w:val="00053971"/>
    <w:rsid w:val="00056A67"/>
    <w:rsid w:val="00071252"/>
    <w:rsid w:val="000755D9"/>
    <w:rsid w:val="0007763E"/>
    <w:rsid w:val="00080354"/>
    <w:rsid w:val="00081EFA"/>
    <w:rsid w:val="00083E0E"/>
    <w:rsid w:val="00085533"/>
    <w:rsid w:val="00090E70"/>
    <w:rsid w:val="00094585"/>
    <w:rsid w:val="000968C3"/>
    <w:rsid w:val="000A39B7"/>
    <w:rsid w:val="000B0F80"/>
    <w:rsid w:val="000B7BAB"/>
    <w:rsid w:val="000C454B"/>
    <w:rsid w:val="000C514A"/>
    <w:rsid w:val="000C624A"/>
    <w:rsid w:val="000C6514"/>
    <w:rsid w:val="000C717D"/>
    <w:rsid w:val="000D08DB"/>
    <w:rsid w:val="000D1E0A"/>
    <w:rsid w:val="000D426E"/>
    <w:rsid w:val="000D5CF9"/>
    <w:rsid w:val="000E11D3"/>
    <w:rsid w:val="000E1392"/>
    <w:rsid w:val="000E2D43"/>
    <w:rsid w:val="000E3686"/>
    <w:rsid w:val="000E4A44"/>
    <w:rsid w:val="000E5304"/>
    <w:rsid w:val="000E6653"/>
    <w:rsid w:val="000F6575"/>
    <w:rsid w:val="00100ED7"/>
    <w:rsid w:val="00101696"/>
    <w:rsid w:val="001020B8"/>
    <w:rsid w:val="00112776"/>
    <w:rsid w:val="001153EF"/>
    <w:rsid w:val="00116BF7"/>
    <w:rsid w:val="00121DD9"/>
    <w:rsid w:val="00121FF5"/>
    <w:rsid w:val="00122391"/>
    <w:rsid w:val="00130694"/>
    <w:rsid w:val="00130AD1"/>
    <w:rsid w:val="00132298"/>
    <w:rsid w:val="001348C3"/>
    <w:rsid w:val="00135BC9"/>
    <w:rsid w:val="001371E0"/>
    <w:rsid w:val="00140593"/>
    <w:rsid w:val="00144386"/>
    <w:rsid w:val="0014529E"/>
    <w:rsid w:val="001502CF"/>
    <w:rsid w:val="00150659"/>
    <w:rsid w:val="00155517"/>
    <w:rsid w:val="00160C43"/>
    <w:rsid w:val="00162CF4"/>
    <w:rsid w:val="00164135"/>
    <w:rsid w:val="00164458"/>
    <w:rsid w:val="00164BED"/>
    <w:rsid w:val="00167A21"/>
    <w:rsid w:val="00183437"/>
    <w:rsid w:val="001838C0"/>
    <w:rsid w:val="001919DA"/>
    <w:rsid w:val="00191F22"/>
    <w:rsid w:val="001926D7"/>
    <w:rsid w:val="0019295D"/>
    <w:rsid w:val="001A08D1"/>
    <w:rsid w:val="001E1550"/>
    <w:rsid w:val="001F3F8B"/>
    <w:rsid w:val="00200C78"/>
    <w:rsid w:val="00202C1C"/>
    <w:rsid w:val="002046A1"/>
    <w:rsid w:val="00215EE4"/>
    <w:rsid w:val="002221FF"/>
    <w:rsid w:val="00230F31"/>
    <w:rsid w:val="00233A6B"/>
    <w:rsid w:val="00233AA1"/>
    <w:rsid w:val="0023480D"/>
    <w:rsid w:val="0023605F"/>
    <w:rsid w:val="0024560B"/>
    <w:rsid w:val="00250AD8"/>
    <w:rsid w:val="00253E67"/>
    <w:rsid w:val="00255E25"/>
    <w:rsid w:val="00257AFE"/>
    <w:rsid w:val="0026020B"/>
    <w:rsid w:val="002602E1"/>
    <w:rsid w:val="002759A9"/>
    <w:rsid w:val="00275D4B"/>
    <w:rsid w:val="00280EE6"/>
    <w:rsid w:val="00282683"/>
    <w:rsid w:val="002845CD"/>
    <w:rsid w:val="00287113"/>
    <w:rsid w:val="0029110A"/>
    <w:rsid w:val="0029520C"/>
    <w:rsid w:val="002A1928"/>
    <w:rsid w:val="002A1A04"/>
    <w:rsid w:val="002A1F92"/>
    <w:rsid w:val="002A2BA7"/>
    <w:rsid w:val="002B4371"/>
    <w:rsid w:val="002B6113"/>
    <w:rsid w:val="002C0B9D"/>
    <w:rsid w:val="002D1371"/>
    <w:rsid w:val="002D17C0"/>
    <w:rsid w:val="002D1BEC"/>
    <w:rsid w:val="002D2A48"/>
    <w:rsid w:val="002E6C07"/>
    <w:rsid w:val="002F14C4"/>
    <w:rsid w:val="002F14EC"/>
    <w:rsid w:val="002F3474"/>
    <w:rsid w:val="0030381A"/>
    <w:rsid w:val="0030389F"/>
    <w:rsid w:val="00307509"/>
    <w:rsid w:val="00312736"/>
    <w:rsid w:val="00316BBF"/>
    <w:rsid w:val="00321DDB"/>
    <w:rsid w:val="00330503"/>
    <w:rsid w:val="00331D2C"/>
    <w:rsid w:val="003343DB"/>
    <w:rsid w:val="0034000F"/>
    <w:rsid w:val="003442D6"/>
    <w:rsid w:val="00350988"/>
    <w:rsid w:val="003524E8"/>
    <w:rsid w:val="0035412C"/>
    <w:rsid w:val="00361A96"/>
    <w:rsid w:val="00372B76"/>
    <w:rsid w:val="00380551"/>
    <w:rsid w:val="00382BD0"/>
    <w:rsid w:val="00384F70"/>
    <w:rsid w:val="00385151"/>
    <w:rsid w:val="00386D97"/>
    <w:rsid w:val="00387978"/>
    <w:rsid w:val="0039331B"/>
    <w:rsid w:val="003933EF"/>
    <w:rsid w:val="00396077"/>
    <w:rsid w:val="003A6D0D"/>
    <w:rsid w:val="003A6D61"/>
    <w:rsid w:val="003B33AA"/>
    <w:rsid w:val="003B7FE8"/>
    <w:rsid w:val="003C4F78"/>
    <w:rsid w:val="003D04ED"/>
    <w:rsid w:val="003D328E"/>
    <w:rsid w:val="003D516B"/>
    <w:rsid w:val="003E7158"/>
    <w:rsid w:val="003F0BCE"/>
    <w:rsid w:val="003F312A"/>
    <w:rsid w:val="003F5F74"/>
    <w:rsid w:val="00401C93"/>
    <w:rsid w:val="004028F0"/>
    <w:rsid w:val="004169C9"/>
    <w:rsid w:val="0041782B"/>
    <w:rsid w:val="004221F2"/>
    <w:rsid w:val="00422212"/>
    <w:rsid w:val="00423892"/>
    <w:rsid w:val="004335AB"/>
    <w:rsid w:val="00434122"/>
    <w:rsid w:val="00435510"/>
    <w:rsid w:val="00436025"/>
    <w:rsid w:val="004365AA"/>
    <w:rsid w:val="0043780A"/>
    <w:rsid w:val="00441B19"/>
    <w:rsid w:val="00441BC9"/>
    <w:rsid w:val="00444A46"/>
    <w:rsid w:val="004653F3"/>
    <w:rsid w:val="00467B92"/>
    <w:rsid w:val="00467EAC"/>
    <w:rsid w:val="00471304"/>
    <w:rsid w:val="00471885"/>
    <w:rsid w:val="00471969"/>
    <w:rsid w:val="0047715E"/>
    <w:rsid w:val="0047746F"/>
    <w:rsid w:val="00481B61"/>
    <w:rsid w:val="00482A6C"/>
    <w:rsid w:val="00482EDA"/>
    <w:rsid w:val="00487A73"/>
    <w:rsid w:val="00491DFF"/>
    <w:rsid w:val="0049351E"/>
    <w:rsid w:val="0049678C"/>
    <w:rsid w:val="00496C66"/>
    <w:rsid w:val="004A2286"/>
    <w:rsid w:val="004A743D"/>
    <w:rsid w:val="004C5B49"/>
    <w:rsid w:val="004C711E"/>
    <w:rsid w:val="004D1D80"/>
    <w:rsid w:val="004E5DBD"/>
    <w:rsid w:val="004F2910"/>
    <w:rsid w:val="00504C2E"/>
    <w:rsid w:val="00507E4B"/>
    <w:rsid w:val="00520AFE"/>
    <w:rsid w:val="00520D2E"/>
    <w:rsid w:val="00523506"/>
    <w:rsid w:val="005375A4"/>
    <w:rsid w:val="00540876"/>
    <w:rsid w:val="00543BC5"/>
    <w:rsid w:val="00583A10"/>
    <w:rsid w:val="005879F6"/>
    <w:rsid w:val="00595355"/>
    <w:rsid w:val="005A2D8A"/>
    <w:rsid w:val="005A4C41"/>
    <w:rsid w:val="005A5D85"/>
    <w:rsid w:val="005B4DEB"/>
    <w:rsid w:val="005B5DE1"/>
    <w:rsid w:val="005C501A"/>
    <w:rsid w:val="005D3249"/>
    <w:rsid w:val="005D46CE"/>
    <w:rsid w:val="005F18AE"/>
    <w:rsid w:val="005F303A"/>
    <w:rsid w:val="005F4104"/>
    <w:rsid w:val="005F6E0F"/>
    <w:rsid w:val="0061155F"/>
    <w:rsid w:val="006145ED"/>
    <w:rsid w:val="00626B00"/>
    <w:rsid w:val="00627C5E"/>
    <w:rsid w:val="00631915"/>
    <w:rsid w:val="00634976"/>
    <w:rsid w:val="00636F4A"/>
    <w:rsid w:val="00642F83"/>
    <w:rsid w:val="00643A09"/>
    <w:rsid w:val="00647750"/>
    <w:rsid w:val="006544C6"/>
    <w:rsid w:val="0066122F"/>
    <w:rsid w:val="0067232B"/>
    <w:rsid w:val="00687EB8"/>
    <w:rsid w:val="00690CC2"/>
    <w:rsid w:val="00691F26"/>
    <w:rsid w:val="006943DE"/>
    <w:rsid w:val="006A092D"/>
    <w:rsid w:val="006A475B"/>
    <w:rsid w:val="006A59EF"/>
    <w:rsid w:val="006B0096"/>
    <w:rsid w:val="006D2787"/>
    <w:rsid w:val="006D5ADA"/>
    <w:rsid w:val="006E24E2"/>
    <w:rsid w:val="006F10B9"/>
    <w:rsid w:val="006F2DD9"/>
    <w:rsid w:val="00702AB9"/>
    <w:rsid w:val="007030FE"/>
    <w:rsid w:val="00703CFF"/>
    <w:rsid w:val="00705C48"/>
    <w:rsid w:val="0070621C"/>
    <w:rsid w:val="0072239E"/>
    <w:rsid w:val="007234DB"/>
    <w:rsid w:val="00725C6C"/>
    <w:rsid w:val="00727389"/>
    <w:rsid w:val="00730397"/>
    <w:rsid w:val="00731271"/>
    <w:rsid w:val="007320D0"/>
    <w:rsid w:val="007365D9"/>
    <w:rsid w:val="007425F7"/>
    <w:rsid w:val="00745E39"/>
    <w:rsid w:val="0075134C"/>
    <w:rsid w:val="00754064"/>
    <w:rsid w:val="007558F5"/>
    <w:rsid w:val="00757F18"/>
    <w:rsid w:val="007623DC"/>
    <w:rsid w:val="00763E0F"/>
    <w:rsid w:val="007654B3"/>
    <w:rsid w:val="0077148F"/>
    <w:rsid w:val="00781D89"/>
    <w:rsid w:val="00783215"/>
    <w:rsid w:val="0079153B"/>
    <w:rsid w:val="007919CA"/>
    <w:rsid w:val="007940A4"/>
    <w:rsid w:val="007940E4"/>
    <w:rsid w:val="00795255"/>
    <w:rsid w:val="0079668A"/>
    <w:rsid w:val="007A3345"/>
    <w:rsid w:val="007A3E04"/>
    <w:rsid w:val="007A47F7"/>
    <w:rsid w:val="007A4886"/>
    <w:rsid w:val="007A7FFB"/>
    <w:rsid w:val="007B44FC"/>
    <w:rsid w:val="007C0CB8"/>
    <w:rsid w:val="007C4E0E"/>
    <w:rsid w:val="007C5930"/>
    <w:rsid w:val="007D4D29"/>
    <w:rsid w:val="007E1907"/>
    <w:rsid w:val="007E509C"/>
    <w:rsid w:val="007E5C4D"/>
    <w:rsid w:val="007F0D15"/>
    <w:rsid w:val="007F2619"/>
    <w:rsid w:val="007F2633"/>
    <w:rsid w:val="007F2E6A"/>
    <w:rsid w:val="007F3B26"/>
    <w:rsid w:val="00803D12"/>
    <w:rsid w:val="00804D65"/>
    <w:rsid w:val="00810AC5"/>
    <w:rsid w:val="008200E3"/>
    <w:rsid w:val="00821B61"/>
    <w:rsid w:val="00822535"/>
    <w:rsid w:val="00830645"/>
    <w:rsid w:val="008326F7"/>
    <w:rsid w:val="008341AA"/>
    <w:rsid w:val="00837776"/>
    <w:rsid w:val="0084122B"/>
    <w:rsid w:val="00841A16"/>
    <w:rsid w:val="00847A93"/>
    <w:rsid w:val="00847B64"/>
    <w:rsid w:val="00854621"/>
    <w:rsid w:val="00857EED"/>
    <w:rsid w:val="00863CE3"/>
    <w:rsid w:val="00864069"/>
    <w:rsid w:val="00870635"/>
    <w:rsid w:val="0087284A"/>
    <w:rsid w:val="008842B9"/>
    <w:rsid w:val="00884D3B"/>
    <w:rsid w:val="0089037E"/>
    <w:rsid w:val="008907F6"/>
    <w:rsid w:val="008918F8"/>
    <w:rsid w:val="00893CCB"/>
    <w:rsid w:val="008A5C45"/>
    <w:rsid w:val="008B10E3"/>
    <w:rsid w:val="008B3C76"/>
    <w:rsid w:val="008C29A9"/>
    <w:rsid w:val="008C4257"/>
    <w:rsid w:val="008D0870"/>
    <w:rsid w:val="008D34EF"/>
    <w:rsid w:val="008D390F"/>
    <w:rsid w:val="008D42CB"/>
    <w:rsid w:val="008E0F33"/>
    <w:rsid w:val="008E15B9"/>
    <w:rsid w:val="008E4017"/>
    <w:rsid w:val="008F4C3A"/>
    <w:rsid w:val="008F6A6E"/>
    <w:rsid w:val="00902D9F"/>
    <w:rsid w:val="00904AB7"/>
    <w:rsid w:val="009054C2"/>
    <w:rsid w:val="0091017C"/>
    <w:rsid w:val="00910C36"/>
    <w:rsid w:val="00914508"/>
    <w:rsid w:val="009151F4"/>
    <w:rsid w:val="00915AFA"/>
    <w:rsid w:val="0091654C"/>
    <w:rsid w:val="00921D39"/>
    <w:rsid w:val="00922E7B"/>
    <w:rsid w:val="00923460"/>
    <w:rsid w:val="00932803"/>
    <w:rsid w:val="009369A7"/>
    <w:rsid w:val="00936FA1"/>
    <w:rsid w:val="00942A6F"/>
    <w:rsid w:val="00943C17"/>
    <w:rsid w:val="009521D2"/>
    <w:rsid w:val="009563CF"/>
    <w:rsid w:val="00962547"/>
    <w:rsid w:val="00962571"/>
    <w:rsid w:val="00963145"/>
    <w:rsid w:val="009631F7"/>
    <w:rsid w:val="0096371C"/>
    <w:rsid w:val="00964048"/>
    <w:rsid w:val="00965CD0"/>
    <w:rsid w:val="00966A8E"/>
    <w:rsid w:val="00966BFB"/>
    <w:rsid w:val="00972097"/>
    <w:rsid w:val="00973405"/>
    <w:rsid w:val="0097491E"/>
    <w:rsid w:val="009774A4"/>
    <w:rsid w:val="009800F6"/>
    <w:rsid w:val="00982478"/>
    <w:rsid w:val="009902B6"/>
    <w:rsid w:val="00991DEA"/>
    <w:rsid w:val="0099584E"/>
    <w:rsid w:val="00996376"/>
    <w:rsid w:val="009970CB"/>
    <w:rsid w:val="009B0B76"/>
    <w:rsid w:val="009B6788"/>
    <w:rsid w:val="009B7B83"/>
    <w:rsid w:val="009D0109"/>
    <w:rsid w:val="009D2327"/>
    <w:rsid w:val="009D3CE2"/>
    <w:rsid w:val="009E372B"/>
    <w:rsid w:val="009F1EDB"/>
    <w:rsid w:val="009F25F1"/>
    <w:rsid w:val="009F3AA2"/>
    <w:rsid w:val="009F41D7"/>
    <w:rsid w:val="00A028BF"/>
    <w:rsid w:val="00A04B72"/>
    <w:rsid w:val="00A12001"/>
    <w:rsid w:val="00A14871"/>
    <w:rsid w:val="00A259FA"/>
    <w:rsid w:val="00A31315"/>
    <w:rsid w:val="00A3196D"/>
    <w:rsid w:val="00A31AC2"/>
    <w:rsid w:val="00A32506"/>
    <w:rsid w:val="00A34911"/>
    <w:rsid w:val="00A44743"/>
    <w:rsid w:val="00A54378"/>
    <w:rsid w:val="00A57A42"/>
    <w:rsid w:val="00A634F8"/>
    <w:rsid w:val="00A67C51"/>
    <w:rsid w:val="00A70CA8"/>
    <w:rsid w:val="00A76272"/>
    <w:rsid w:val="00A77F04"/>
    <w:rsid w:val="00A817A7"/>
    <w:rsid w:val="00A92700"/>
    <w:rsid w:val="00AA15D5"/>
    <w:rsid w:val="00AA2E19"/>
    <w:rsid w:val="00AA3A03"/>
    <w:rsid w:val="00AB4DFF"/>
    <w:rsid w:val="00AC2679"/>
    <w:rsid w:val="00AC576C"/>
    <w:rsid w:val="00AC652F"/>
    <w:rsid w:val="00AE3293"/>
    <w:rsid w:val="00AF1086"/>
    <w:rsid w:val="00AF568A"/>
    <w:rsid w:val="00AF7B88"/>
    <w:rsid w:val="00B00C20"/>
    <w:rsid w:val="00B01161"/>
    <w:rsid w:val="00B12386"/>
    <w:rsid w:val="00B268C1"/>
    <w:rsid w:val="00B30C8D"/>
    <w:rsid w:val="00B31EAE"/>
    <w:rsid w:val="00B41D71"/>
    <w:rsid w:val="00B43688"/>
    <w:rsid w:val="00B5205D"/>
    <w:rsid w:val="00B53109"/>
    <w:rsid w:val="00B56A9C"/>
    <w:rsid w:val="00B66015"/>
    <w:rsid w:val="00B70A18"/>
    <w:rsid w:val="00B72B69"/>
    <w:rsid w:val="00B86B90"/>
    <w:rsid w:val="00B91C21"/>
    <w:rsid w:val="00B94176"/>
    <w:rsid w:val="00B944B2"/>
    <w:rsid w:val="00BA0440"/>
    <w:rsid w:val="00BA1921"/>
    <w:rsid w:val="00BB00C9"/>
    <w:rsid w:val="00BB2F37"/>
    <w:rsid w:val="00BB42D6"/>
    <w:rsid w:val="00BD4F23"/>
    <w:rsid w:val="00BD64E4"/>
    <w:rsid w:val="00BE28C2"/>
    <w:rsid w:val="00BE55F6"/>
    <w:rsid w:val="00BE7896"/>
    <w:rsid w:val="00BF032D"/>
    <w:rsid w:val="00BF1187"/>
    <w:rsid w:val="00BF137A"/>
    <w:rsid w:val="00C00792"/>
    <w:rsid w:val="00C00A6D"/>
    <w:rsid w:val="00C07363"/>
    <w:rsid w:val="00C11C76"/>
    <w:rsid w:val="00C13282"/>
    <w:rsid w:val="00C1399B"/>
    <w:rsid w:val="00C13A45"/>
    <w:rsid w:val="00C16A05"/>
    <w:rsid w:val="00C170D0"/>
    <w:rsid w:val="00C20635"/>
    <w:rsid w:val="00C20D79"/>
    <w:rsid w:val="00C222F8"/>
    <w:rsid w:val="00C22CA6"/>
    <w:rsid w:val="00C2369F"/>
    <w:rsid w:val="00C31A53"/>
    <w:rsid w:val="00C32882"/>
    <w:rsid w:val="00C3448A"/>
    <w:rsid w:val="00C37E90"/>
    <w:rsid w:val="00C40A4B"/>
    <w:rsid w:val="00C511B8"/>
    <w:rsid w:val="00C5356B"/>
    <w:rsid w:val="00C5715C"/>
    <w:rsid w:val="00C60903"/>
    <w:rsid w:val="00C62C0D"/>
    <w:rsid w:val="00C63593"/>
    <w:rsid w:val="00C65DC3"/>
    <w:rsid w:val="00C72841"/>
    <w:rsid w:val="00C7462C"/>
    <w:rsid w:val="00C754EF"/>
    <w:rsid w:val="00C75AA0"/>
    <w:rsid w:val="00C82606"/>
    <w:rsid w:val="00C8354D"/>
    <w:rsid w:val="00C91C79"/>
    <w:rsid w:val="00C92F9B"/>
    <w:rsid w:val="00C9333B"/>
    <w:rsid w:val="00CA19A4"/>
    <w:rsid w:val="00CA31DF"/>
    <w:rsid w:val="00CB314E"/>
    <w:rsid w:val="00CC0AAA"/>
    <w:rsid w:val="00CC58F5"/>
    <w:rsid w:val="00CE0572"/>
    <w:rsid w:val="00CE3C2F"/>
    <w:rsid w:val="00CE5DB3"/>
    <w:rsid w:val="00CF224C"/>
    <w:rsid w:val="00CF2D77"/>
    <w:rsid w:val="00CF55A3"/>
    <w:rsid w:val="00D10300"/>
    <w:rsid w:val="00D1084A"/>
    <w:rsid w:val="00D11915"/>
    <w:rsid w:val="00D13163"/>
    <w:rsid w:val="00D308A8"/>
    <w:rsid w:val="00D34AE7"/>
    <w:rsid w:val="00D359B3"/>
    <w:rsid w:val="00D364D4"/>
    <w:rsid w:val="00D37CCB"/>
    <w:rsid w:val="00D43888"/>
    <w:rsid w:val="00D5121F"/>
    <w:rsid w:val="00D52CD8"/>
    <w:rsid w:val="00D539AE"/>
    <w:rsid w:val="00D54189"/>
    <w:rsid w:val="00D571B5"/>
    <w:rsid w:val="00D71A6F"/>
    <w:rsid w:val="00D80C96"/>
    <w:rsid w:val="00D82FF7"/>
    <w:rsid w:val="00D846C2"/>
    <w:rsid w:val="00D85122"/>
    <w:rsid w:val="00DA6A5E"/>
    <w:rsid w:val="00DB0E2A"/>
    <w:rsid w:val="00DB2F9F"/>
    <w:rsid w:val="00DB5DF9"/>
    <w:rsid w:val="00DC10AE"/>
    <w:rsid w:val="00DC428F"/>
    <w:rsid w:val="00DD18A1"/>
    <w:rsid w:val="00DD30BF"/>
    <w:rsid w:val="00DD53D3"/>
    <w:rsid w:val="00DE56E8"/>
    <w:rsid w:val="00DE5D86"/>
    <w:rsid w:val="00DE67F4"/>
    <w:rsid w:val="00DF03EE"/>
    <w:rsid w:val="00DF19D0"/>
    <w:rsid w:val="00DF36A5"/>
    <w:rsid w:val="00E03C41"/>
    <w:rsid w:val="00E057B1"/>
    <w:rsid w:val="00E104A9"/>
    <w:rsid w:val="00E12102"/>
    <w:rsid w:val="00E12C18"/>
    <w:rsid w:val="00E136FA"/>
    <w:rsid w:val="00E20C0C"/>
    <w:rsid w:val="00E2571A"/>
    <w:rsid w:val="00E27C13"/>
    <w:rsid w:val="00E328BA"/>
    <w:rsid w:val="00E40CB0"/>
    <w:rsid w:val="00E41952"/>
    <w:rsid w:val="00E42507"/>
    <w:rsid w:val="00E42A7F"/>
    <w:rsid w:val="00E45703"/>
    <w:rsid w:val="00E5006E"/>
    <w:rsid w:val="00E50A3C"/>
    <w:rsid w:val="00E51E0E"/>
    <w:rsid w:val="00E5550C"/>
    <w:rsid w:val="00E555C8"/>
    <w:rsid w:val="00E55F49"/>
    <w:rsid w:val="00E64B79"/>
    <w:rsid w:val="00E658C9"/>
    <w:rsid w:val="00E7128A"/>
    <w:rsid w:val="00E778B4"/>
    <w:rsid w:val="00E87270"/>
    <w:rsid w:val="00E87289"/>
    <w:rsid w:val="00E91F7F"/>
    <w:rsid w:val="00E929F4"/>
    <w:rsid w:val="00E92A7B"/>
    <w:rsid w:val="00E97377"/>
    <w:rsid w:val="00EA68E2"/>
    <w:rsid w:val="00EA7C70"/>
    <w:rsid w:val="00EB1CEB"/>
    <w:rsid w:val="00EB2A06"/>
    <w:rsid w:val="00EB5405"/>
    <w:rsid w:val="00EB7BD5"/>
    <w:rsid w:val="00EC3A06"/>
    <w:rsid w:val="00EC3E21"/>
    <w:rsid w:val="00EC589A"/>
    <w:rsid w:val="00EC67AA"/>
    <w:rsid w:val="00EC749B"/>
    <w:rsid w:val="00EE071C"/>
    <w:rsid w:val="00EE3A91"/>
    <w:rsid w:val="00EF23C4"/>
    <w:rsid w:val="00EF6E50"/>
    <w:rsid w:val="00EF6F40"/>
    <w:rsid w:val="00EF7250"/>
    <w:rsid w:val="00F053DB"/>
    <w:rsid w:val="00F10038"/>
    <w:rsid w:val="00F119D7"/>
    <w:rsid w:val="00F24775"/>
    <w:rsid w:val="00F25319"/>
    <w:rsid w:val="00F27739"/>
    <w:rsid w:val="00F3095A"/>
    <w:rsid w:val="00F3328B"/>
    <w:rsid w:val="00F33648"/>
    <w:rsid w:val="00F33B5B"/>
    <w:rsid w:val="00F365D6"/>
    <w:rsid w:val="00F376AC"/>
    <w:rsid w:val="00F4269B"/>
    <w:rsid w:val="00F55580"/>
    <w:rsid w:val="00F66355"/>
    <w:rsid w:val="00F66FE7"/>
    <w:rsid w:val="00F73392"/>
    <w:rsid w:val="00F73486"/>
    <w:rsid w:val="00F766AE"/>
    <w:rsid w:val="00F86FCF"/>
    <w:rsid w:val="00F92DC7"/>
    <w:rsid w:val="00FB4542"/>
    <w:rsid w:val="00FC0579"/>
    <w:rsid w:val="00FC090A"/>
    <w:rsid w:val="00FC55C7"/>
    <w:rsid w:val="00FD45B0"/>
    <w:rsid w:val="00FD4C62"/>
    <w:rsid w:val="00FD624E"/>
    <w:rsid w:val="00FE46FB"/>
    <w:rsid w:val="00FE4CA6"/>
    <w:rsid w:val="00FE4DA1"/>
    <w:rsid w:val="00FE552A"/>
    <w:rsid w:val="00FE55A2"/>
    <w:rsid w:val="00FF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7C59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aliases w:val=" Diagrama6,HEADER_EN,HEADER_EN Char Char Char Char,Char + Arial,Firs..., Char Char Char Char Char, Char Char Char Char Char Char Ch, Char Char Char Char Char Char Ch Char Char Char Char Char Char Char, Char Char Char Char"/>
    <w:basedOn w:val="Normal"/>
    <w:link w:val="HeaderChar"/>
    <w:unhideWhenUsed/>
    <w:rsid w:val="00996376"/>
    <w:pPr>
      <w:tabs>
        <w:tab w:val="center" w:pos="4819"/>
        <w:tab w:val="right" w:pos="9638"/>
      </w:tabs>
      <w:spacing w:after="0" w:line="240" w:lineRule="auto"/>
    </w:pPr>
  </w:style>
  <w:style w:type="character" w:customStyle="1" w:styleId="HeaderChar">
    <w:name w:val="Header Char"/>
    <w:aliases w:val=" Diagrama6 Char,HEADER_EN Char,HEADER_EN Char Char Char Char Char,Char + Arial Char,Firs... Char, Char Char Char Char Char Char, Char Char Char Char Char Char Ch Char, Char Char Char Char Char Char Ch Char Char Char Char Char Char Char Char"/>
    <w:basedOn w:val="DefaultParagraphFont"/>
    <w:link w:val="Header"/>
    <w:rsid w:val="00996376"/>
    <w:rPr>
      <w:rFonts w:eastAsiaTheme="minorEastAsia"/>
      <w:sz w:val="21"/>
      <w:szCs w:val="21"/>
      <w:lang w:val="lt-LT" w:eastAsia="lt-LT"/>
    </w:rPr>
  </w:style>
  <w:style w:type="paragraph" w:styleId="Footer">
    <w:name w:val="footer"/>
    <w:basedOn w:val="Normal"/>
    <w:link w:val="FooterChar"/>
    <w:uiPriority w:val="99"/>
    <w:unhideWhenUsed/>
    <w:rsid w:val="009963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6376"/>
    <w:rPr>
      <w:rFonts w:eastAsiaTheme="minorEastAsia"/>
      <w:sz w:val="21"/>
      <w:szCs w:val="21"/>
      <w:lang w:val="lt-LT" w:eastAsia="lt-LT"/>
    </w:rPr>
  </w:style>
  <w:style w:type="character" w:customStyle="1" w:styleId="Heading7Char">
    <w:name w:val="Heading 7 Char"/>
    <w:basedOn w:val="DefaultParagraphFont"/>
    <w:link w:val="Heading7"/>
    <w:uiPriority w:val="9"/>
    <w:semiHidden/>
    <w:rsid w:val="007C5930"/>
    <w:rPr>
      <w:rFonts w:asciiTheme="majorHAnsi" w:eastAsiaTheme="majorEastAsia" w:hAnsiTheme="majorHAnsi" w:cstheme="majorBidi"/>
      <w:i/>
      <w:iCs/>
      <w:color w:val="1F4D78" w:themeColor="accent1" w:themeShade="7F"/>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5.png@01DCD89E.0A68B960" TargetMode="External"/><Relationship Id="rId1" Type="http://schemas.openxmlformats.org/officeDocument/2006/relationships/image" Target="media/image1.png"/><Relationship Id="rId4" Type="http://schemas.openxmlformats.org/officeDocument/2006/relationships/image" Target="cid:image006.png@01DCD89E.0A68B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6893</Words>
  <Characters>3930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Leta Kalinauskaitė</cp:lastModifiedBy>
  <cp:revision>12</cp:revision>
  <dcterms:created xsi:type="dcterms:W3CDTF">2026-05-29T05:37:00Z</dcterms:created>
  <dcterms:modified xsi:type="dcterms:W3CDTF">2026-06-15T09:40:00Z</dcterms:modified>
</cp:coreProperties>
</file>